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2"/>
            <w:vMerge w:val="restart"/>
          </w:tcPr>
          <w:p>
            <w:pPr>
              <w:ind w:left="20"/>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SMITH IAN F</w:t>
              </w:r>
            </w:hyperlink>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Foghorn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FHTX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80" w:type="dxa"/>
            <w:vAlign w:val="bottom"/>
            <w:tcBorders>
              <w:bottom w:val="single" w:sz="8" w:color="0000EE"/>
            </w:tcBorders>
          </w:tcPr>
          <w:p>
            <w:pPr>
              <w:spacing w:after="0"/>
              <w:rPr>
                <w:sz w:val="6"/>
                <w:szCs w:val="6"/>
                <w:color w:val="auto"/>
              </w:rPr>
            </w:pPr>
          </w:p>
        </w:tc>
        <w:tc>
          <w:tcPr>
            <w:tcW w:w="1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15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99 COOLIDGE AVENUE</w:t>
            </w:r>
          </w:p>
        </w:tc>
        <w:tc>
          <w:tcPr>
            <w:tcW w:w="1200" w:type="dxa"/>
            <w:vAlign w:val="bottom"/>
          </w:tcPr>
          <w:p>
            <w:pPr>
              <w:spacing w:after="0"/>
              <w:rPr>
                <w:sz w:val="10"/>
                <w:szCs w:val="10"/>
                <w:color w:val="auto"/>
              </w:rPr>
            </w:pPr>
          </w:p>
        </w:tc>
        <w:tc>
          <w:tcPr>
            <w:tcW w:w="2340" w:type="dxa"/>
            <w:vAlign w:val="bottom"/>
            <w:gridSpan w:val="3"/>
            <w:vMerge w:val="continue"/>
          </w:tcPr>
          <w:p>
            <w:pPr>
              <w:spacing w:after="0"/>
              <w:rPr>
                <w:sz w:val="10"/>
                <w:szCs w:val="10"/>
                <w:color w:val="auto"/>
              </w:rPr>
            </w:pPr>
          </w:p>
        </w:tc>
        <w:tc>
          <w:tcPr>
            <w:tcW w:w="15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STE 500</w:t>
            </w:r>
          </w:p>
        </w:tc>
        <w:tc>
          <w:tcPr>
            <w:tcW w:w="1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02742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28,000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28,000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4.08</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28,000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in full on the first anniversary of the grant date, subject to the reporting person's continued service on the board of directors.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Michael LaCascia, Attorney- </w:t>
      </w:r>
      <w:r>
        <w:rPr>
          <w:rFonts w:ascii="Times New Roman" w:cs="Times New Roman" w:eastAsia="Times New Roman" w:hAnsi="Times New Roman"/>
          <w:sz w:val="33"/>
          <w:szCs w:val="33"/>
          <w:color w:val="0000FF"/>
          <w:vertAlign w:val="subscript"/>
        </w:rPr>
        <w:t>06/25/2026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65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Ian F.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99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949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1820"/>
        <w:spacing w:after="0"/>
        <w:rPr>
          <w:sz w:val="20"/>
          <w:szCs w:val="20"/>
          <w:color w:val="auto"/>
        </w:rPr>
      </w:pPr>
      <w:r>
        <w:rPr>
          <w:rFonts w:ascii="Courier New" w:cs="Courier New" w:eastAsia="Courier New" w:hAnsi="Courier New"/>
          <w:sz w:val="17"/>
          <w:szCs w:val="17"/>
          <w:color w:val="auto"/>
        </w:rPr>
        <w:t>LIMITED POWER OF ATTORNEY</w:t>
      </w:r>
    </w:p>
    <w:p>
      <w:pPr>
        <w:spacing w:after="0" w:line="194" w:lineRule="exact"/>
        <w:rPr>
          <w:sz w:val="20"/>
          <w:szCs w:val="20"/>
          <w:color w:val="auto"/>
        </w:rPr>
      </w:pPr>
    </w:p>
    <w:p>
      <w:pPr>
        <w:ind w:right="2959" w:firstLine="503"/>
        <w:spacing w:after="0" w:line="278" w:lineRule="auto"/>
        <w:rPr>
          <w:sz w:val="20"/>
          <w:szCs w:val="20"/>
          <w:color w:val="auto"/>
        </w:rPr>
      </w:pPr>
      <w:r>
        <w:rPr>
          <w:rFonts w:ascii="Courier New" w:cs="Courier New" w:eastAsia="Courier New" w:hAnsi="Courier New"/>
          <w:sz w:val="17"/>
          <w:szCs w:val="17"/>
          <w:color w:val="auto"/>
        </w:rPr>
        <w:t>The undersigned hereby constitutes and appoints Michael LaCascia, Adrian Gottschalk and Samantha Macina, and each of them individually, with full power of substitution, as the undersigned's true and lawful attorney-in-fact to:</w:t>
      </w:r>
    </w:p>
    <w:p>
      <w:pPr>
        <w:spacing w:after="0" w:line="75" w:lineRule="exact"/>
        <w:rPr>
          <w:sz w:val="20"/>
          <w:szCs w:val="20"/>
          <w:color w:val="auto"/>
        </w:rPr>
      </w:pPr>
    </w:p>
    <w:p>
      <w:pPr>
        <w:ind w:right="3859" w:firstLine="3"/>
        <w:spacing w:after="0" w:line="259" w:lineRule="auto"/>
        <w:tabs>
          <w:tab w:leader="none" w:pos="80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w:t>
      </w:r>
    </w:p>
    <w:p>
      <w:pPr>
        <w:spacing w:after="0" w:line="1" w:lineRule="exact"/>
        <w:rPr>
          <w:rFonts w:ascii="Courier New" w:cs="Courier New" w:eastAsia="Courier New" w:hAnsi="Courier New"/>
          <w:sz w:val="17"/>
          <w:szCs w:val="17"/>
          <w:color w:val="auto"/>
        </w:rPr>
      </w:pPr>
    </w:p>
    <w:p>
      <w:pPr>
        <w:ind w:right="445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or any rule or regulation of the SEC;</w:t>
      </w:r>
    </w:p>
    <w:p>
      <w:pPr>
        <w:spacing w:after="0" w:line="96" w:lineRule="exact"/>
        <w:rPr>
          <w:rFonts w:ascii="Courier New" w:cs="Courier New" w:eastAsia="Courier New" w:hAnsi="Courier New"/>
          <w:sz w:val="17"/>
          <w:szCs w:val="17"/>
          <w:color w:val="auto"/>
        </w:rPr>
      </w:pPr>
    </w:p>
    <w:p>
      <w:pPr>
        <w:ind w:right="3959" w:firstLine="3"/>
        <w:spacing w:after="0" w:line="253" w:lineRule="auto"/>
        <w:tabs>
          <w:tab w:leader="none" w:pos="80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officer and/or director of Foghorn Therapeutics Inc. (the "Company"), Forms 3, 4,</w:t>
      </w:r>
    </w:p>
    <w:p>
      <w:pPr>
        <w:spacing w:after="0" w:line="1" w:lineRule="exact"/>
        <w:rPr>
          <w:rFonts w:ascii="Courier New" w:cs="Courier New" w:eastAsia="Courier New" w:hAnsi="Courier New"/>
          <w:sz w:val="17"/>
          <w:szCs w:val="17"/>
          <w:color w:val="auto"/>
        </w:rPr>
      </w:pPr>
    </w:p>
    <w:p>
      <w:pPr>
        <w:ind w:right="4659"/>
        <w:spacing w:after="0" w:line="27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 and any Schedules 13D or 13G in accordance with Section 16(a) of the Securities Exchange Act of 1934, as amended, and the rules thereunder;</w:t>
      </w:r>
    </w:p>
    <w:p>
      <w:pPr>
        <w:spacing w:after="0" w:line="76" w:lineRule="exact"/>
        <w:rPr>
          <w:rFonts w:ascii="Courier New" w:cs="Courier New" w:eastAsia="Courier New" w:hAnsi="Courier New"/>
          <w:sz w:val="17"/>
          <w:szCs w:val="17"/>
          <w:color w:val="auto"/>
        </w:rPr>
      </w:pPr>
    </w:p>
    <w:p>
      <w:pPr>
        <w:ind w:right="3959" w:firstLine="3"/>
        <w:spacing w:after="0" w:line="253" w:lineRule="auto"/>
        <w:tabs>
          <w:tab w:leader="none" w:pos="80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complete and execute any such Form 3, 4, or 5 or</w:t>
      </w:r>
    </w:p>
    <w:p>
      <w:pPr>
        <w:spacing w:after="0" w:line="1" w:lineRule="exact"/>
        <w:rPr>
          <w:rFonts w:ascii="Courier New" w:cs="Courier New" w:eastAsia="Courier New" w:hAnsi="Courier New"/>
          <w:sz w:val="17"/>
          <w:szCs w:val="17"/>
          <w:color w:val="auto"/>
        </w:rPr>
      </w:pPr>
    </w:p>
    <w:p>
      <w:pPr>
        <w:ind w:right="4459"/>
        <w:spacing w:after="0" w:line="26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13D or 13G, complete and execute any amendment or amendments thereto, and timely file such form with the SEC and any stock exchange or similar authority; and</w:t>
      </w:r>
    </w:p>
    <w:p>
      <w:pPr>
        <w:spacing w:after="0" w:line="86" w:lineRule="exact"/>
        <w:rPr>
          <w:rFonts w:ascii="Courier New" w:cs="Courier New" w:eastAsia="Courier New" w:hAnsi="Courier New"/>
          <w:sz w:val="17"/>
          <w:szCs w:val="17"/>
          <w:color w:val="auto"/>
        </w:rPr>
      </w:pPr>
    </w:p>
    <w:p>
      <w:pPr>
        <w:ind w:right="4459" w:firstLine="3"/>
        <w:spacing w:after="0" w:line="253" w:lineRule="auto"/>
        <w:tabs>
          <w:tab w:leader="none" w:pos="80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p>
      <w:pPr>
        <w:spacing w:after="0" w:line="98" w:lineRule="exact"/>
        <w:rPr>
          <w:sz w:val="20"/>
          <w:szCs w:val="20"/>
          <w:color w:val="auto"/>
        </w:rPr>
      </w:pPr>
    </w:p>
    <w:p>
      <w:pPr>
        <w:ind w:right="3459" w:firstLine="503"/>
        <w:spacing w:after="0" w:line="248"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110" w:lineRule="exact"/>
        <w:rPr>
          <w:sz w:val="20"/>
          <w:szCs w:val="20"/>
          <w:color w:val="auto"/>
        </w:rPr>
      </w:pPr>
    </w:p>
    <w:p>
      <w:pPr>
        <w:ind w:right="3459" w:firstLine="503"/>
        <w:spacing w:after="0" w:line="26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5, and any Schedules 13D or 13G with respect to the undersigned's holdings of and transactions in securities issued by the Company, unless earlier revoked by the undersigned in a signed writing delivered to each foregoing attorney-in-fact.</w:t>
      </w:r>
    </w:p>
    <w:p>
      <w:pPr>
        <w:spacing w:after="0" w:line="88"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[Remainder of page intentionally left blank]</w:t>
      </w:r>
    </w:p>
    <w:p>
      <w:pPr>
        <w:spacing w:after="0" w:line="194" w:lineRule="exact"/>
        <w:rPr>
          <w:sz w:val="20"/>
          <w:szCs w:val="20"/>
          <w:color w:val="auto"/>
        </w:rPr>
      </w:pPr>
    </w:p>
    <w:p>
      <w:pPr>
        <w:ind w:right="3459" w:firstLine="503"/>
        <w:spacing w:after="0" w:line="3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1st day of December, 2025.</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Ian Smith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Ian Smith</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97032" TargetMode="External"/><Relationship Id="rId14" Type="http://schemas.openxmlformats.org/officeDocument/2006/relationships/hyperlink" Target="http://www.sec.gov/cgi-bin/browse-edgar?action=getcompany&amp;CIK=00018224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2026-06-25T15:17:31Z</dcterms:created>
  <dcterms:modified xsi:type="dcterms:W3CDTF">2026-06-25T15:17:31Z</dcterms:modified>
</cp:coreProperties>
</file>