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w:t>
      </w:r>
    </w:p>
    <w:p>
      <w:pPr>
        <w:pStyle w:val="TextBody"/>
        <w:bidi w:val="0"/>
        <w:spacing w:lineRule="auto" w:line="288" w:before="120" w:after="283"/>
        <w:jc w:val="left"/>
        <w:rPr>
          <w:rFonts w:ascii="Times New Roman;serif" w:hAnsi="Times New Roman;serif"/>
          <w:b/>
          <w:color w:val="000000"/>
          <w:sz w:val="14"/>
        </w:rPr>
      </w:pPr>
      <w:r>
        <w:rPr>
          <w:rFonts w:ascii="Times New Roman;serif" w:hAnsi="Times New Roman;serif"/>
          <w:b/>
          <w:color w:val="000000"/>
          <w:sz w:val="14"/>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 the transition period from __________________ to __________________</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001-39634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Foghorn Therapeutics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w:t>
      </w:r>
    </w:p>
    <w:tbl>
      <w:tblPr>
        <w:tblW w:w="3689" w:type="dxa"/>
        <w:jc w:val="left"/>
        <w:tblInd w:w="0" w:type="dxa"/>
        <w:tblLayout w:type="fixed"/>
        <w:tblCellMar>
          <w:top w:w="28" w:type="dxa"/>
          <w:left w:w="28" w:type="dxa"/>
          <w:bottom w:w="28" w:type="dxa"/>
          <w:right w:w="28" w:type="dxa"/>
        </w:tblCellMar>
      </w:tblPr>
      <w:tblGrid>
        <w:gridCol w:w="886"/>
        <w:gridCol w:w="778"/>
        <w:gridCol w:w="781"/>
        <w:gridCol w:w="363"/>
        <w:gridCol w:w="363"/>
        <w:gridCol w:w="518"/>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47-5271393</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99 Coolidge Avenue, Suite 500</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Watertown, Massachusetts</w:t>
            </w:r>
          </w:p>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02472</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617-586-3100</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697" w:type="dxa"/>
        <w:jc w:val="left"/>
        <w:tblInd w:w="0" w:type="dxa"/>
        <w:tblLayout w:type="fixed"/>
        <w:tblCellMar>
          <w:top w:w="28" w:type="dxa"/>
          <w:left w:w="28" w:type="dxa"/>
          <w:bottom w:w="28" w:type="dxa"/>
          <w:right w:w="28" w:type="dxa"/>
        </w:tblCellMar>
      </w:tblPr>
      <w:tblGrid>
        <w:gridCol w:w="953"/>
        <w:gridCol w:w="840"/>
        <w:gridCol w:w="846"/>
        <w:gridCol w:w="109"/>
        <w:gridCol w:w="109"/>
        <w:gridCol w:w="109"/>
        <w:gridCol w:w="234"/>
        <w:gridCol w:w="234"/>
        <w:gridCol w:w="236"/>
        <w:gridCol w:w="109"/>
        <w:gridCol w:w="109"/>
        <w:gridCol w:w="109"/>
        <w:gridCol w:w="791"/>
        <w:gridCol w:w="791"/>
        <w:gridCol w:w="1118"/>
      </w:tblGrid>
      <w:tr>
        <w:trPr/>
        <w:tc>
          <w:tcPr>
            <w:tcW w:w="95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FHTX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The Nasdaq Global Market</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4"/>
        </w:rPr>
        <w:t>x</w:t>
      </w:r>
      <w:r>
        <w:rPr>
          <w:color w:val="000000"/>
        </w:rPr>
        <w:t>    </w:t>
      </w:r>
      <w:r>
        <w:rPr>
          <w:rFonts w:ascii="Times New Roman;serif" w:hAnsi="Times New Roman;serif"/>
          <w:b w:val="false"/>
          <w:color w:val="000000"/>
          <w:sz w:val="14"/>
        </w:rPr>
        <w:t>No </w:t>
      </w:r>
      <w:r>
        <w:rPr>
          <w:color w:val="000000"/>
        </w:rPr>
        <w:t>☐</w:t>
      </w:r>
    </w:p>
    <w:p>
      <w:pPr>
        <w:pStyle w:val="TextBody"/>
        <w:bidi w:val="0"/>
        <w:spacing w:lineRule="auto" w:line="288" w:before="120" w:after="283"/>
        <w:ind w:left="0" w:right="0" w:firstLine="720"/>
        <w:jc w:val="left"/>
        <w:rPr/>
      </w:pPr>
      <w:r>
        <w:rPr>
          <w:rFonts w:ascii="Times New Roman;serif" w:hAnsi="Times New Roman;serif"/>
          <w:b w:val="false"/>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4"/>
        </w:rPr>
        <w:t>x</w:t>
      </w:r>
      <w:r>
        <w:rPr>
          <w:color w:val="000000"/>
        </w:rPr>
        <w:t>    </w:t>
      </w:r>
      <w:r>
        <w:rPr>
          <w:rFonts w:ascii="Times New Roman;serif" w:hAnsi="Times New Roman;serif"/>
          <w:b w:val="false"/>
          <w:color w:val="000000"/>
          <w:sz w:val="14"/>
        </w:rPr>
        <w:t>No </w:t>
      </w:r>
      <w:r>
        <w:rPr>
          <w:color w:val="000000"/>
        </w:rPr>
        <w:t>☐</w:t>
      </w:r>
    </w:p>
    <w:p>
      <w:pPr>
        <w:pStyle w:val="TextBody"/>
        <w:bidi w:val="0"/>
        <w:spacing w:lineRule="auto" w:line="288" w:before="120" w:after="283"/>
        <w:ind w:left="0" w:right="0" w:firstLine="720"/>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3731" w:type="dxa"/>
        <w:jc w:val="left"/>
        <w:tblInd w:w="0" w:type="dxa"/>
        <w:tblLayout w:type="fixed"/>
        <w:tblCellMar>
          <w:top w:w="28" w:type="dxa"/>
          <w:left w:w="28" w:type="dxa"/>
          <w:bottom w:w="28" w:type="dxa"/>
          <w:right w:w="28" w:type="dxa"/>
        </w:tblCellMar>
      </w:tblPr>
      <w:tblGrid>
        <w:gridCol w:w="495"/>
        <w:gridCol w:w="435"/>
        <w:gridCol w:w="436"/>
        <w:gridCol w:w="109"/>
        <w:gridCol w:w="109"/>
        <w:gridCol w:w="109"/>
        <w:gridCol w:w="554"/>
        <w:gridCol w:w="554"/>
        <w:gridCol w:w="558"/>
        <w:gridCol w:w="109"/>
        <w:gridCol w:w="109"/>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x</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720"/>
        <w:jc w:val="left"/>
        <w:rPr/>
      </w:pPr>
      <w:r>
        <w:rPr>
          <w:rFonts w:ascii="Times New Roman;serif" w:hAnsi="Times New Roman;serif"/>
          <w:b w:val="false"/>
          <w:color w:val="000000"/>
          <w:sz w:val="14"/>
        </w:rPr>
        <w:t>Indicate by check mark whether the registrant is a shell company (as defined in Rule 12b-2 of the Exchange Act).     Yes </w:t>
      </w:r>
      <w:r>
        <w:rPr>
          <w:color w:val="000000"/>
        </w:rPr>
        <w:t>☐    </w:t>
      </w:r>
      <w:r>
        <w:rPr>
          <w:rFonts w:ascii="Times New Roman;serif" w:hAnsi="Times New Roman;serif"/>
          <w:b w:val="false"/>
          <w:color w:val="000000"/>
          <w:sz w:val="14"/>
        </w:rPr>
        <w:t>No </w:t>
      </w:r>
      <w:r>
        <w:rPr>
          <w:rFonts w:ascii="Wingdings;sans-serif" w:hAnsi="Wingdings;sans-serif"/>
          <w:b w:val="false"/>
          <w:color w:val="000000"/>
          <w:sz w:val="14"/>
        </w:rPr>
        <w:t>x</w:t>
      </w:r>
    </w:p>
    <w:p>
      <w:pPr>
        <w:pStyle w:val="TextBody"/>
        <w:bidi w:val="0"/>
        <w:spacing w:lineRule="auto" w:line="288" w:before="120" w:after="283"/>
        <w:ind w:left="0" w:right="0" w:firstLine="720"/>
        <w:jc w:val="left"/>
        <w:rPr>
          <w:rFonts w:ascii="Times New Roman;serif" w:hAnsi="Times New Roman;serif"/>
          <w:b w:val="false"/>
          <w:color w:val="000000"/>
          <w:sz w:val="14"/>
        </w:rPr>
      </w:pPr>
      <w:r>
        <w:rPr>
          <w:rFonts w:ascii="Times New Roman;serif" w:hAnsi="Times New Roman;serif"/>
          <w:b w:val="false"/>
          <w:color w:val="000000"/>
          <w:sz w:val="14"/>
        </w:rPr>
        <w:t>As of July 31, 2026, the registrant had 59,385,315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8852" w:type="dxa"/>
        <w:jc w:val="left"/>
        <w:tblInd w:w="0" w:type="dxa"/>
        <w:tblLayout w:type="fixed"/>
        <w:tblCellMar>
          <w:top w:w="28" w:type="dxa"/>
          <w:left w:w="28" w:type="dxa"/>
          <w:bottom w:w="28" w:type="dxa"/>
          <w:right w:w="28" w:type="dxa"/>
        </w:tblCellMar>
      </w:tblPr>
      <w:tblGrid>
        <w:gridCol w:w="353"/>
        <w:gridCol w:w="309"/>
        <w:gridCol w:w="314"/>
        <w:gridCol w:w="2454"/>
        <w:gridCol w:w="2454"/>
        <w:gridCol w:w="2457"/>
        <w:gridCol w:w="149"/>
        <w:gridCol w:w="149"/>
        <w:gridCol w:w="213"/>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6">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6">
              <w:r>
                <w:rPr>
                  <w:rStyle w:val="InternetLink"/>
                  <w:rFonts w:ascii="Times New Roman;serif" w:hAnsi="Times New Roman;serif"/>
                  <w:b w:val="false"/>
                  <w:strike w:val="false"/>
                  <w:dstrike w:val="false"/>
                  <w:color w:val="000000"/>
                  <w:sz w:val="20"/>
                  <w:u w:val="none"/>
                  <w:effect w:val="none"/>
                </w:rPr>
                <w:t>FINANCIAL INFORMATION</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20f4e56f0331468ab6634684b528cd25_16">
              <w:r>
                <w:rPr>
                  <w:rStyle w:val="InternetLink"/>
                  <w:rFonts w:ascii="Times New Roman;serif" w:hAnsi="Times New Roman;serif"/>
                  <w:b w:val="false"/>
                  <w:strike w:val="false"/>
                  <w:dstrike w:val="false"/>
                  <w:color w:val="000000"/>
                  <w:sz w:val="20"/>
                  <w:u w:val="none"/>
                  <w:effect w:val="none"/>
                </w:rPr>
                <w:t>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9">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19">
              <w:r>
                <w:rPr>
                  <w:rStyle w:val="InternetLink"/>
                  <w:rFonts w:ascii="Times New Roman;serif" w:hAnsi="Times New Roman;serif"/>
                  <w:b w:val="false"/>
                  <w:strike w:val="false"/>
                  <w:dstrike w:val="false"/>
                  <w:color w:val="000000"/>
                  <w:sz w:val="20"/>
                  <w:u w:val="none"/>
                  <w:effect w:val="none"/>
                </w:rPr>
                <w:t>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22">
              <w:r>
                <w:rPr>
                  <w:rStyle w:val="InternetLink"/>
                  <w:rFonts w:ascii="Times New Roman;serif" w:hAnsi="Times New Roman;serif"/>
                  <w:b w:val="false"/>
                  <w:strike w:val="false"/>
                  <w:dstrike w:val="false"/>
                  <w:color w:val="000000"/>
                  <w:sz w:val="20"/>
                  <w:u w:val="none"/>
                  <w:effect w:val="non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22">
              <w:r>
                <w:rPr>
                  <w:rStyle w:val="InternetLink"/>
                  <w:rFonts w:ascii="Times New Roman;serif" w:hAnsi="Times New Roman;serif"/>
                  <w:b w:val="false"/>
                  <w:strike w:val="false"/>
                  <w:dstrike w:val="false"/>
                  <w:color w:val="000000"/>
                  <w:sz w:val="20"/>
                  <w:u w:val="none"/>
                  <w:effect w:val="none"/>
                </w:rPr>
                <w:t>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25">
              <w:r>
                <w:rPr>
                  <w:rStyle w:val="InternetLink"/>
                  <w:rFonts w:ascii="Times New Roman;serif" w:hAnsi="Times New Roman;serif"/>
                  <w:b w:val="false"/>
                  <w:strike w:val="false"/>
                  <w:dstrike w:val="false"/>
                  <w:color w:val="000000"/>
                  <w:sz w:val="20"/>
                  <w:u w:val="none"/>
                  <w:effect w:val="none"/>
                </w:rPr>
                <w:t>Condensed 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25">
              <w:r>
                <w:rPr>
                  <w:rStyle w:val="InternetLink"/>
                  <w:rFonts w:ascii="Times New Roman;serif" w:hAnsi="Times New Roman;serif"/>
                  <w:b w:val="false"/>
                  <w:strike w:val="false"/>
                  <w:dstrike w:val="false"/>
                  <w:color w:val="000000"/>
                  <w:sz w:val="20"/>
                  <w:u w:val="none"/>
                  <w:effect w:val="non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28">
              <w:r>
                <w:rPr>
                  <w:rStyle w:val="InternetLink"/>
                  <w:rFonts w:ascii="Times New Roman;serif" w:hAnsi="Times New Roman;serif"/>
                  <w:b w:val="false"/>
                  <w:strike w:val="false"/>
                  <w:dstrike w:val="false"/>
                  <w:color w:val="000000"/>
                  <w:sz w:val="20"/>
                  <w:u w:val="none"/>
                  <w:effect w:val="none"/>
                </w:rPr>
                <w:t xml:space="preserve">Condensed Consolidated Statements of Stockholders’ </w:t>
              </w:r>
            </w:hyperlink>
            <w:r>
              <w:rPr>
                <w:rFonts w:ascii="Times New Roman;serif" w:hAnsi="Times New Roman;serif"/>
                <w:b w:val="false"/>
                <w:color w:val="000000"/>
                <w:sz w:val="20"/>
              </w:rPr>
              <w:t>Deficit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28">
              <w:r>
                <w:rPr>
                  <w:rStyle w:val="InternetLink"/>
                  <w:rFonts w:ascii="Times New Roman;serif" w:hAnsi="Times New Roman;serif"/>
                  <w:b w:val="false"/>
                  <w:strike w:val="false"/>
                  <w:dstrike w:val="false"/>
                  <w:color w:val="000000"/>
                  <w:sz w:val="20"/>
                  <w:u w:val="none"/>
                  <w:effect w:val="non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31">
              <w:r>
                <w:rPr>
                  <w:rStyle w:val="InternetLink"/>
                  <w:rFonts w:ascii="Times New Roman;serif" w:hAnsi="Times New Roman;serif"/>
                  <w:b w:val="false"/>
                  <w:strike w:val="false"/>
                  <w:dstrike w:val="false"/>
                  <w:color w:val="000000"/>
                  <w:sz w:val="20"/>
                  <w:u w:val="none"/>
                  <w:effect w:val="non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31">
              <w:r>
                <w:rPr>
                  <w:rStyle w:val="InternetLink"/>
                  <w:rFonts w:ascii="Times New Roman;serif" w:hAnsi="Times New Roman;serif"/>
                  <w:b w:val="false"/>
                  <w:strike w:val="false"/>
                  <w:dstrike w:val="false"/>
                  <w:color w:val="000000"/>
                  <w:sz w:val="20"/>
                  <w:u w:val="none"/>
                  <w:effect w:val="non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34">
              <w:r>
                <w:rPr>
                  <w:rStyle w:val="InternetLink"/>
                  <w:rFonts w:ascii="Times New Roman;serif" w:hAnsi="Times New Roman;serif"/>
                  <w:b w:val="false"/>
                  <w:strike w:val="false"/>
                  <w:dstrike w:val="false"/>
                  <w:color w:val="000000"/>
                  <w:sz w:val="20"/>
                  <w:u w:val="none"/>
                  <w:effect w:val="none"/>
                </w:rPr>
                <w:t>Notes to Unaudited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34">
              <w:r>
                <w:rPr>
                  <w:rStyle w:val="InternetLink"/>
                  <w:rFonts w:ascii="Times New Roman;serif" w:hAnsi="Times New Roman;serif"/>
                  <w:b w:val="false"/>
                  <w:strike w:val="false"/>
                  <w:dstrike w:val="false"/>
                  <w:color w:val="000000"/>
                  <w:sz w:val="20"/>
                  <w:u w:val="none"/>
                  <w:effect w:val="none"/>
                </w:rPr>
                <w:t>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82">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82">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82">
              <w:r>
                <w:rPr>
                  <w:rStyle w:val="InternetLink"/>
                  <w:rFonts w:ascii="Times New Roman;serif" w:hAnsi="Times New Roman;serif"/>
                  <w:b w:val="false"/>
                  <w:strike w:val="false"/>
                  <w:dstrike w:val="false"/>
                  <w:color w:val="000000"/>
                  <w:sz w:val="20"/>
                  <w:u w:val="none"/>
                  <w:effect w:val="none"/>
                </w:rPr>
                <w:t>17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03">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03">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103">
              <w:r>
                <w:rPr>
                  <w:rStyle w:val="InternetLink"/>
                  <w:rFonts w:ascii="Times New Roman;serif" w:hAnsi="Times New Roman;serif"/>
                  <w:b w:val="false"/>
                  <w:strike w:val="false"/>
                  <w:dstrike w:val="false"/>
                  <w:color w:val="000000"/>
                  <w:sz w:val="20"/>
                  <w:u w:val="none"/>
                  <w:effect w:val="none"/>
                </w:rPr>
                <w:t>25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06">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06">
              <w:r>
                <w:rPr>
                  <w:rStyle w:val="InternetLink"/>
                  <w:rFonts w:ascii="Times New Roman;serif" w:hAnsi="Times New Roman;serif"/>
                  <w:b w:val="false"/>
                  <w:strike w:val="false"/>
                  <w:dstrike w:val="false"/>
                  <w:color w:val="000000"/>
                  <w:sz w:val="20"/>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106">
              <w:r>
                <w:rPr>
                  <w:rStyle w:val="InternetLink"/>
                  <w:rFonts w:ascii="Times New Roman;serif" w:hAnsi="Times New Roman;serif"/>
                  <w:b w:val="false"/>
                  <w:strike w:val="false"/>
                  <w:dstrike w:val="false"/>
                  <w:color w:val="000000"/>
                  <w:sz w:val="20"/>
                  <w:u w:val="none"/>
                  <w:effect w:val="none"/>
                </w:rPr>
                <w:t>25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09">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09">
              <w:r>
                <w:rPr>
                  <w:rStyle w:val="InternetLink"/>
                  <w:rFonts w:ascii="Times New Roman;serif" w:hAnsi="Times New Roman;serif"/>
                  <w:b w:val="false"/>
                  <w:strike w:val="false"/>
                  <w:dstrike w:val="false"/>
                  <w:color w:val="000000"/>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109">
              <w:r>
                <w:rPr>
                  <w:rStyle w:val="InternetLink"/>
                  <w:rFonts w:ascii="Times New Roman;serif" w:hAnsi="Times New Roman;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12">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12">
              <w:r>
                <w:rPr>
                  <w:rStyle w:val="InternetLink"/>
                  <w:rFonts w:ascii="Times New Roman;serif" w:hAnsi="Times New Roman;serif"/>
                  <w:b w:val="false"/>
                  <w:strike w:val="false"/>
                  <w:dstrike w:val="false"/>
                  <w:color w:val="000000"/>
                  <w:sz w:val="20"/>
                  <w:u w:val="none"/>
                  <w:effect w:val="non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112">
              <w:r>
                <w:rPr>
                  <w:rStyle w:val="InternetLink"/>
                  <w:rFonts w:ascii="Times New Roman;serif" w:hAnsi="Times New Roman;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15">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15">
              <w:r>
                <w:rPr>
                  <w:rStyle w:val="InternetLink"/>
                  <w:rFonts w:ascii="Times New Roman;serif" w:hAnsi="Times New Roman;serif"/>
                  <w:b w:val="false"/>
                  <w:strike w:val="false"/>
                  <w:dstrike w:val="false"/>
                  <w:color w:val="000000"/>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115">
              <w:r>
                <w:rPr>
                  <w:rStyle w:val="InternetLink"/>
                  <w:rFonts w:ascii="Times New Roman;serif" w:hAnsi="Times New Roman;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18">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18">
              <w:r>
                <w:rPr>
                  <w:rStyle w:val="InternetLink"/>
                  <w:rFonts w:ascii="Times New Roman;serif" w:hAnsi="Times New Roman;serif"/>
                  <w:b w:val="false"/>
                  <w:strike w:val="false"/>
                  <w:dstrike w:val="false"/>
                  <w:color w:val="000000"/>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118">
              <w:r>
                <w:rPr>
                  <w:rStyle w:val="InternetLink"/>
                  <w:rFonts w:ascii="Times New Roman;serif" w:hAnsi="Times New Roman;serif"/>
                  <w:b w:val="false"/>
                  <w:strike w:val="false"/>
                  <w:dstrike w:val="false"/>
                  <w:color w:val="000000"/>
                  <w:sz w:val="20"/>
                  <w:u w:val="none"/>
                  <w:effect w:val="non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24">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24">
              <w:r>
                <w:rPr>
                  <w:rStyle w:val="InternetLink"/>
                  <w:rFonts w:ascii="Times New Roman;serif" w:hAnsi="Times New Roman;serif"/>
                  <w:b w:val="false"/>
                  <w:strike w:val="false"/>
                  <w:dstrike w:val="false"/>
                  <w:color w:val="000000"/>
                  <w:sz w:val="20"/>
                  <w:u w:val="none"/>
                  <w:effect w:val="non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124">
              <w:r>
                <w:rPr>
                  <w:rStyle w:val="InternetLink"/>
                  <w:rFonts w:ascii="Times New Roman;serif" w:hAnsi="Times New Roman;serif"/>
                  <w:b w:val="false"/>
                  <w:strike w:val="false"/>
                  <w:dstrike w:val="false"/>
                  <w:color w:val="000000"/>
                  <w:sz w:val="20"/>
                  <w:u w:val="none"/>
                  <w:effect w:val="non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0f4e56f0331468ab6634684b528cd25_127">
              <w:r>
                <w:rPr>
                  <w:rStyle w:val="InternetLink"/>
                  <w:rFonts w:ascii="Times New Roman;serif" w:hAnsi="Times New Roman;serif"/>
                  <w:b w:val="false"/>
                  <w:strike w:val="false"/>
                  <w:dstrike w:val="false"/>
                  <w:color w:val="000000"/>
                  <w:sz w:val="20"/>
                  <w:u w:val="none"/>
                  <w:effect w:val="non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f4e56f0331468ab6634684b528cd25_127">
              <w:r>
                <w:rPr>
                  <w:rStyle w:val="InternetLink"/>
                  <w:rFonts w:ascii="Times New Roman;serif" w:hAnsi="Times New Roman;serif"/>
                  <w:b w:val="false"/>
                  <w:strike w:val="false"/>
                  <w:dstrike w:val="false"/>
                  <w:color w:val="000000"/>
                  <w:sz w:val="20"/>
                  <w:u w:val="none"/>
                  <w:effect w:val="none"/>
                </w:rPr>
                <w:t>28</w:t>
              </w:r>
            </w:hyperlink>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that are based on management’s beliefs and assumptions and on information currently available to management. All statements other than statements of historical facts contained in this Quarterly Report on Form 10-Q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initiation, timing, progress, enrollment, results, and timing of results and regulatory filings of our research and development programs and our preclinical and clinical studies, including those included in our collaboration with Eli Lilly and Company (“Lilly”);</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ability to advance any product candidates that we may develop and to successfully complete preclinical and clinical studies;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ability to leverage our initial programs to develop additional product candidates using our Gene Traffic Control</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platform;</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developments related to our competitors and our industry;</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ability to expand the target populations of our programs and the availability of patients for clinical testing;</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ability to obtain regulatory approval for FHD-909 and any future product candidates from the U.S. Food and Drug Administration (the “FDA”) and other regulatory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ability to identify and enter into future license agreements and collaborations;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ability to continue to rely on our contract development and manufacturing organizations (“CDMOs”) or contract research organizations (“CROs”), including those located outside the United States, such as those located in China, for our manufacturing and research needs;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statutory and regulatory developments in the United States and foreign countries, especially in China, including China’s Anti-Foreign Sanctions Law and its implementing regulations;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general economic conditions, including recessionary conditions, interest rates, monetary fluctuations and supply chain constraints;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ongoing and potential geopolitical instability and armed conflicts;</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our ability to attract and retain key scientific and management personnel; and</w:t>
      </w:r>
    </w:p>
    <w:p>
      <w:pPr>
        <w:pStyle w:val="TextBody"/>
        <w:bidi w:val="0"/>
        <w:spacing w:lineRule="auto" w:line="288" w:before="120" w:after="283"/>
        <w:ind w:left="0" w:right="0" w:hanging="450"/>
        <w:jc w:val="left"/>
        <w:rPr/>
      </w:pPr>
      <w:r>
        <w:rPr>
          <w:color w:val="000000"/>
        </w:rPr>
        <w:t>•</w:t>
      </w:r>
      <w:r>
        <w:rPr>
          <w:rFonts w:ascii="Times New Roman;serif" w:hAnsi="Times New Roman;serif"/>
          <w:b w:val="false"/>
          <w:color w:val="000000"/>
          <w:sz w:val="20"/>
        </w:rPr>
        <w:t>the scope of protection we are able to establish, maintain and enforce for intellectual property rights covering our current and future product candidates, and our Gene Traffic Control platform.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those described under the section entitled “Risk Factors” in our Annual Report on Form 10-K for the fiscal year ended December 31, 2025. 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risks and uncertainties may emerge from time to time, and it is not possible for management to predict all risks and uncertainties.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Foghorn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80"/>
        <w:gridCol w:w="2340"/>
        <w:gridCol w:w="2284"/>
        <w:gridCol w:w="211"/>
        <w:gridCol w:w="826"/>
        <w:gridCol w:w="109"/>
        <w:gridCol w:w="109"/>
        <w:gridCol w:w="109"/>
        <w:gridCol w:w="109"/>
        <w:gridCol w:w="211"/>
        <w:gridCol w:w="861"/>
        <w:gridCol w:w="156"/>
      </w:tblGrid>
      <w:tr>
        <w:trPr/>
        <w:tc>
          <w:tcPr>
            <w:tcW w:w="2880"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25,000,000 shares authorized at June 30, 2026 and December 31, 2025; no shares issued and outstanding at June 30, 2026 and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175,000,000 shares authorized at June 30, 2026 and December 31, 2025; 58,714,272 shares issued and outstanding at June 30, 2026 and 56,657,329 shares issued and outstanding at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gain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203,393 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198,103 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Foghorn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32"/>
        <w:gridCol w:w="1389"/>
        <w:gridCol w:w="1396"/>
        <w:gridCol w:w="244"/>
        <w:gridCol w:w="837"/>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6"/>
      </w:tblGrid>
      <w:tr>
        <w:trPr/>
        <w:tc>
          <w:tcPr>
            <w:tcW w:w="163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stockholders—basic and diluted</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outstanding—basic and diluted</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70,629,419 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62,978,219 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70,087,756 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62,913,804 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(36,949)</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Foghorn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35"/>
        <w:gridCol w:w="425"/>
        <w:gridCol w:w="427"/>
        <w:gridCol w:w="540"/>
        <w:gridCol w:w="541"/>
        <w:gridCol w:w="196"/>
        <w:gridCol w:w="109"/>
        <w:gridCol w:w="109"/>
        <w:gridCol w:w="109"/>
        <w:gridCol w:w="253"/>
        <w:gridCol w:w="307"/>
        <w:gridCol w:w="131"/>
        <w:gridCol w:w="109"/>
        <w:gridCol w:w="109"/>
        <w:gridCol w:w="109"/>
        <w:gridCol w:w="211"/>
        <w:gridCol w:w="826"/>
        <w:gridCol w:w="109"/>
        <w:gridCol w:w="109"/>
        <w:gridCol w:w="109"/>
        <w:gridCol w:w="109"/>
        <w:gridCol w:w="391"/>
        <w:gridCol w:w="892"/>
        <w:gridCol w:w="202"/>
        <w:gridCol w:w="109"/>
        <w:gridCol w:w="109"/>
        <w:gridCol w:w="109"/>
        <w:gridCol w:w="211"/>
        <w:gridCol w:w="847"/>
        <w:gridCol w:w="109"/>
        <w:gridCol w:w="109"/>
        <w:gridCol w:w="109"/>
        <w:gridCol w:w="109"/>
        <w:gridCol w:w="211"/>
        <w:gridCol w:w="847"/>
        <w:gridCol w:w="159"/>
      </w:tblGrid>
      <w:tr>
        <w:trPr/>
        <w:tc>
          <w:tcPr>
            <w:tcW w:w="73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Deficit</w:t>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56,657,329 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from direct offering, </w:t>
              <w:br/>
              <w:t>   net of offering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2,030,314 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pre-funded warrants from direct </w:t>
              <w:br/>
              <w:t>   offering, net of offering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series 1 warrants from direct offering, </w:t>
              <w:br/>
              <w:t>   net of offering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series 2 warrants from direct offering, </w:t>
              <w:br/>
              <w:t>   net of offering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w:t>
              <w:br/>
              <w:t>   options and 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58,710,490 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w:t>
              <w:br/>
              <w:t>   options and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58,714,272 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(81,041)</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46"/>
        <w:gridCol w:w="438"/>
        <w:gridCol w:w="440"/>
        <w:gridCol w:w="540"/>
        <w:gridCol w:w="541"/>
        <w:gridCol w:w="196"/>
        <w:gridCol w:w="109"/>
        <w:gridCol w:w="109"/>
        <w:gridCol w:w="109"/>
        <w:gridCol w:w="253"/>
        <w:gridCol w:w="307"/>
        <w:gridCol w:w="131"/>
        <w:gridCol w:w="109"/>
        <w:gridCol w:w="109"/>
        <w:gridCol w:w="109"/>
        <w:gridCol w:w="211"/>
        <w:gridCol w:w="826"/>
        <w:gridCol w:w="109"/>
        <w:gridCol w:w="109"/>
        <w:gridCol w:w="109"/>
        <w:gridCol w:w="109"/>
        <w:gridCol w:w="406"/>
        <w:gridCol w:w="898"/>
        <w:gridCol w:w="212"/>
        <w:gridCol w:w="109"/>
        <w:gridCol w:w="109"/>
        <w:gridCol w:w="109"/>
        <w:gridCol w:w="211"/>
        <w:gridCol w:w="848"/>
        <w:gridCol w:w="109"/>
        <w:gridCol w:w="109"/>
        <w:gridCol w:w="109"/>
        <w:gridCol w:w="109"/>
        <w:gridCol w:w="211"/>
        <w:gridCol w:w="778"/>
        <w:gridCol w:w="159"/>
      </w:tblGrid>
      <w:tr>
        <w:trPr/>
        <w:tc>
          <w:tcPr>
            <w:tcW w:w="7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Deficit</w:t>
            </w:r>
          </w:p>
        </w:tc>
      </w:tr>
      <w:tr>
        <w:trPr/>
        <w:tc>
          <w:tcPr>
            <w:tcW w:w="1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55,594,131 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w:t>
              <w:br/>
              <w:t>   options and 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55,721,340 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6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6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6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6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6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62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w:t>
              <w:br/>
              <w:t>   options and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marketable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55,803,195 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Foghorn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548" w:type="dxa"/>
        <w:jc w:val="left"/>
        <w:tblInd w:w="0" w:type="dxa"/>
        <w:tblLayout w:type="fixed"/>
        <w:tblCellMar>
          <w:top w:w="28" w:type="dxa"/>
          <w:left w:w="28" w:type="dxa"/>
          <w:bottom w:w="28" w:type="dxa"/>
          <w:right w:w="28" w:type="dxa"/>
        </w:tblCellMar>
      </w:tblPr>
      <w:tblGrid>
        <w:gridCol w:w="2511"/>
        <w:gridCol w:w="2209"/>
        <w:gridCol w:w="2224"/>
        <w:gridCol w:w="211"/>
        <w:gridCol w:w="796"/>
        <w:gridCol w:w="109"/>
        <w:gridCol w:w="109"/>
        <w:gridCol w:w="109"/>
        <w:gridCol w:w="109"/>
        <w:gridCol w:w="211"/>
        <w:gridCol w:w="796"/>
        <w:gridCol w:w="154"/>
      </w:tblGrid>
      <w:tr>
        <w:trPr/>
        <w:tc>
          <w:tcPr>
            <w:tcW w:w="2511"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on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offerings of common stock, pre-funded warrants, and series warrants</w:t>
              <w:br/>
              <w:t>   net of underwriting discounts and commissions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public offering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issuance of common stock upon exercise of stock options and </w:t>
              <w:br/>
              <w:t>   employee stock purchase plan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and noncash investing and financing information:</w:t>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statement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Foghorn Therapeutics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0"/>
        <w:jc w:val="left"/>
        <w:rPr/>
      </w:pPr>
      <w:r>
        <w:rPr>
          <w:rFonts w:ascii="Times New Roman;serif" w:hAnsi="Times New Roman;serif"/>
          <w:b/>
          <w:color w:val="000000"/>
          <w:sz w:val="20"/>
        </w:rPr>
        <w:t>1.</w:t>
      </w:r>
      <w:r>
        <w:rPr>
          <w:color w:val="000000"/>
        </w:rPr>
        <w:t xml:space="preserve"> </w:t>
      </w:r>
      <w:r>
        <w:rPr>
          <w:rFonts w:ascii="Times New Roman;serif" w:hAnsi="Times New Roman;serif"/>
          <w:b/>
          <w:color w:val="000000"/>
          <w:sz w:val="20"/>
        </w:rPr>
        <w:t>Nature of Business, Going Concern and Basis of Presentation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Nature of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Foghorn Therapeutics Inc. (the “Company”) is a clinical-stage biopharmaceutical company discovering and developing a new class of medicines targeting genetically determined dependencies within the chromatin regulatory system. The Company uses its proprietary Gene Traffic Control platform to identify, validate and potentially drug targets within the system. The Company was founded in October 2015 as a Delaware corporation. The Company is headquartered in Watertown, Massachusetts.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subject to risks similar to those of other clinical-stage companies in the biopharmaceutical industry, including dependence on key individuals, the need to develop commercially viable products, competition from other companies, many of whom are larger and better capitalized,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on the basis of continuity of operations, realization of assets and the satisfaction of liabilities and commitments in the ordinary course of business. Since inception, the Company has funded its operations primarily with proceeds from sales of preferred stock, upfront and milestone payments from collaboration agreements, public offerings and a stock purchase agreement. The Company has incurred recurring losses, including net losses of $27.1 million and $36.8 million for the six months ended June 30, 2026 and 2025, respectively. As of June 30, 2026, the Company had an accumulated deficit of $659.5 million. The Company expects to continue to generate operating losses in the foreseeable future. As of the issuance date of these interim unaudited condensed consolidated financial statements the Company expects that its cash, cash equivalents and marketable securities will be sufficient to fund its operating expenses and capital expenditure requirements for at least 12 months.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will need to obtain additional funding through public or private equity offerings, debt financings, collaborations, strategic alliances and/or licensing arrangements to continue to fund its operations. The Company may not be able to obtain financing on acceptable terms, or at all, and the Company may not be able to enter into collaborative or strategic alliances or licensing arrangements. The terms of any financing may adversely affect the holdings or the rights of the Company’s stockholders. Arrangements with collaborators or others may require the Company to relinquish rights to certain of its technologies or programs. If the Company is unable to obtain funding, the Company could be forced to delay, reduce or eliminate some or all of its research and development programs, pipeline expansion or commercialization efforts, which could adversely affect its business prospects. Although management will continue to pursue these plans, there is no assurance that the Company will be successful in obtaining sufficient funding in the future on terms acceptable to the Company to fund continuing operations when needed or at all.</w:t>
      </w:r>
    </w:p>
    <w:p>
      <w:pPr>
        <w:pStyle w:val="TextBody"/>
        <w:bidi w:val="0"/>
        <w:spacing w:lineRule="auto" w:line="288" w:before="32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unaudited condensed consolidated financial statements have been prepared in conformity with accounting principles generally accepted in the United States of America (“GAAP”) and pursuant to the rules and regulations of the United States Securities and Exchange Commission for interim financial statements. Certain information and footnote disclosures normally included in financial statements prepared in accordance with GAAP have been condensed or omitted pursuant to such rules and regulations. The accompanying unaudited condensed consolidated financial statements include the accounts of the Company and its wholly-owned subsidiary. All intercompany accounts and transactions have been eliminated in consolidation. Any reference in these notes to applicable guidance is meant to refer to the authoritative GAAP as found in the Accounting Standards Codification (“ASC”) and Accounting Standards Update (“ASU”) of the Financial Accounting Standards Board (“FASB”).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20" w:after="283"/>
        <w:ind w:left="0" w:right="0" w:hanging="18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left"/>
        <w:rPr/>
      </w:pPr>
      <w:r>
        <w:rPr>
          <w:rFonts w:ascii="Times New Roman;serif" w:hAnsi="Times New Roman;serif"/>
          <w:b w:val="false"/>
          <w:color w:val="000000"/>
          <w:sz w:val="20"/>
        </w:rPr>
        <w:t xml:space="preserve">The accounting policies of the Company are set forth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to the consolidated financial statements contained in the Company’s 2025 Annual Report on Form 10-K, and the accounting policies followed by the Company for interim financial reporting are consistent with the accounting policies therein</w:t>
      </w:r>
      <w:r>
        <w:rPr>
          <w:rFonts w:ascii="Times New Roman;serif" w:hAnsi="Times New Roman;serif"/>
          <w:b w:val="false"/>
          <w:color w:val="000000"/>
          <w:sz w:val="20"/>
          <w:shd w:fill="FFFFFF" w:val="clear"/>
        </w:rPr>
        <w: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FASB or other standard setting bodies that the Company adopts as of the specified effective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which is intended to improve disclosures about a public company’s expenses including the disclosure of certain expenses included and aggregated in captions such as cost of sales, selling general &amp; administrative and research and development expenses on the consolidated financial statements on an interim and annual basis. The standard is effective for annual periods beginning after December 15, 2026 and interim periods within annual periods beginning after December 15, 2027. Early adoption is permitted. The Company is currently evaluating the impact of the standard on the presentation of its condensed consolidated financial statements and footnotes.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83"/>
        <w:ind w:left="0" w:right="0" w:hanging="180"/>
        <w:jc w:val="left"/>
        <w:rPr>
          <w:rFonts w:ascii="Times New Roman;serif" w:hAnsi="Times New Roman;serif"/>
          <w:b/>
          <w:color w:val="000000"/>
          <w:sz w:val="20"/>
        </w:rPr>
      </w:pPr>
      <w:r>
        <w:rPr>
          <w:rFonts w:ascii="Times New Roman;serif" w:hAnsi="Times New Roman;serif"/>
          <w:b/>
          <w:color w:val="000000"/>
          <w:sz w:val="20"/>
        </w:rPr>
        <w:t>3. Marketable Securities and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available for sale marketable securities by security type consisted of (in thousands):</w:t>
      </w:r>
    </w:p>
    <w:tbl>
      <w:tblPr>
        <w:tblW w:w="10205" w:type="dxa"/>
        <w:jc w:val="left"/>
        <w:tblInd w:w="0" w:type="dxa"/>
        <w:tblLayout w:type="fixed"/>
        <w:tblCellMar>
          <w:top w:w="28" w:type="dxa"/>
          <w:left w:w="28" w:type="dxa"/>
          <w:bottom w:w="28" w:type="dxa"/>
          <w:right w:w="28" w:type="dxa"/>
        </w:tblCellMar>
      </w:tblPr>
      <w:tblGrid>
        <w:gridCol w:w="1199"/>
        <w:gridCol w:w="1055"/>
        <w:gridCol w:w="1058"/>
        <w:gridCol w:w="241"/>
        <w:gridCol w:w="826"/>
        <w:gridCol w:w="124"/>
        <w:gridCol w:w="109"/>
        <w:gridCol w:w="109"/>
        <w:gridCol w:w="109"/>
        <w:gridCol w:w="457"/>
        <w:gridCol w:w="882"/>
        <w:gridCol w:w="238"/>
        <w:gridCol w:w="109"/>
        <w:gridCol w:w="109"/>
        <w:gridCol w:w="109"/>
        <w:gridCol w:w="417"/>
        <w:gridCol w:w="966"/>
        <w:gridCol w:w="216"/>
        <w:gridCol w:w="109"/>
        <w:gridCol w:w="109"/>
        <w:gridCol w:w="109"/>
        <w:gridCol w:w="298"/>
        <w:gridCol w:w="1022"/>
        <w:gridCol w:w="225"/>
      </w:tblGrid>
      <w:tr>
        <w:trPr/>
        <w:tc>
          <w:tcPr>
            <w:tcW w:w="11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31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31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(due within one year)</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bonds (due within one year)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312"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available for sale marketable securities by security type consisted of (in thousands):</w:t>
      </w:r>
    </w:p>
    <w:tbl>
      <w:tblPr>
        <w:tblW w:w="10205" w:type="dxa"/>
        <w:jc w:val="left"/>
        <w:tblInd w:w="0" w:type="dxa"/>
        <w:tblLayout w:type="fixed"/>
        <w:tblCellMar>
          <w:top w:w="28" w:type="dxa"/>
          <w:left w:w="28" w:type="dxa"/>
          <w:bottom w:w="28" w:type="dxa"/>
          <w:right w:w="28" w:type="dxa"/>
        </w:tblCellMar>
      </w:tblPr>
      <w:tblGrid>
        <w:gridCol w:w="1202"/>
        <w:gridCol w:w="1053"/>
        <w:gridCol w:w="1056"/>
        <w:gridCol w:w="241"/>
        <w:gridCol w:w="826"/>
        <w:gridCol w:w="124"/>
        <w:gridCol w:w="109"/>
        <w:gridCol w:w="109"/>
        <w:gridCol w:w="109"/>
        <w:gridCol w:w="488"/>
        <w:gridCol w:w="835"/>
        <w:gridCol w:w="254"/>
        <w:gridCol w:w="109"/>
        <w:gridCol w:w="109"/>
        <w:gridCol w:w="109"/>
        <w:gridCol w:w="571"/>
        <w:gridCol w:w="733"/>
        <w:gridCol w:w="295"/>
        <w:gridCol w:w="109"/>
        <w:gridCol w:w="109"/>
        <w:gridCol w:w="109"/>
        <w:gridCol w:w="298"/>
        <w:gridCol w:w="1022"/>
        <w:gridCol w:w="226"/>
      </w:tblGrid>
      <w:tr>
        <w:trPr/>
        <w:tc>
          <w:tcPr>
            <w:tcW w:w="120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 (due within one year)</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(due within one year)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bonds (due within one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77,994 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78,018 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fair value hierarchy for its assets and liabilities, which are measured at fair value on a recurring basis (in thousands):</w:t>
      </w:r>
    </w:p>
    <w:tbl>
      <w:tblPr>
        <w:tblW w:w="7380" w:type="dxa"/>
        <w:jc w:val="left"/>
        <w:tblInd w:w="0" w:type="dxa"/>
        <w:tblLayout w:type="fixed"/>
        <w:tblCellMar>
          <w:top w:w="28" w:type="dxa"/>
          <w:left w:w="28" w:type="dxa"/>
          <w:bottom w:w="28" w:type="dxa"/>
          <w:right w:w="28" w:type="dxa"/>
        </w:tblCellMar>
      </w:tblPr>
      <w:tblGrid>
        <w:gridCol w:w="828"/>
        <w:gridCol w:w="731"/>
        <w:gridCol w:w="736"/>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8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June 30, 2026 Using:</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December 31, 2025 Using:</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and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there were no transfers between Level 1, Level 2 and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4. Property and Equipment,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7150" w:type="dxa"/>
        <w:jc w:val="left"/>
        <w:tblInd w:w="0" w:type="dxa"/>
        <w:tblLayout w:type="fixed"/>
        <w:tblCellMar>
          <w:top w:w="28" w:type="dxa"/>
          <w:left w:w="28" w:type="dxa"/>
          <w:bottom w:w="28" w:type="dxa"/>
          <w:right w:w="28" w:type="dxa"/>
        </w:tblCellMar>
      </w:tblPr>
      <w:tblGrid>
        <w:gridCol w:w="1505"/>
        <w:gridCol w:w="1322"/>
        <w:gridCol w:w="1327"/>
        <w:gridCol w:w="253"/>
        <w:gridCol w:w="741"/>
        <w:gridCol w:w="131"/>
        <w:gridCol w:w="109"/>
        <w:gridCol w:w="109"/>
        <w:gridCol w:w="109"/>
        <w:gridCol w:w="332"/>
        <w:gridCol w:w="970"/>
        <w:gridCol w:w="242"/>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$0.2 million and $0.9 million for the three months ended June 30, 2026 and 2025, respectively, and $0.5 million and $1.7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5. Accrued Expenses and Other Current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 (in thousands):</w:t>
      </w:r>
    </w:p>
    <w:tbl>
      <w:tblPr>
        <w:tblW w:w="7437" w:type="dxa"/>
        <w:jc w:val="left"/>
        <w:tblInd w:w="0" w:type="dxa"/>
        <w:tblLayout w:type="fixed"/>
        <w:tblCellMar>
          <w:top w:w="28" w:type="dxa"/>
          <w:left w:w="28" w:type="dxa"/>
          <w:bottom w:w="28" w:type="dxa"/>
          <w:right w:w="28" w:type="dxa"/>
        </w:tblCellMar>
      </w:tblPr>
      <w:tblGrid>
        <w:gridCol w:w="1610"/>
        <w:gridCol w:w="1411"/>
        <w:gridCol w:w="1419"/>
        <w:gridCol w:w="253"/>
        <w:gridCol w:w="741"/>
        <w:gridCol w:w="131"/>
        <w:gridCol w:w="109"/>
        <w:gridCol w:w="109"/>
        <w:gridCol w:w="109"/>
        <w:gridCol w:w="300"/>
        <w:gridCol w:w="1026"/>
        <w:gridCol w:w="219"/>
      </w:tblGrid>
      <w:tr>
        <w:trPr/>
        <w:tc>
          <w:tcPr>
            <w:tcW w:w="161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external research and development expenses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employee compensation and benefits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6. Common Stock and Net Loss Per Share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Each share of common stock, par value $0.0001 per share (“Common Stock”), entitles the holder to one vote on all matters submitted to a vote of the Company’s stockholders. Common stockholders are not entitled to receive dividends, unless declared by the board of directors.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January 9, 2026, the Company entered into securities purchase agreements (the “Purchase Agreements”) with certain leading life sciences investors (the “Investors”), relating to the issuance and sale of 2,030,314 shares of its Common Stock and, in lieu of Common Stock, pre-funded warrants to purchase 5,421,250 shares of Common Stock (the “Pre-Funded Warrants”). The Company sold the shares of Common Stock and Pre-Funded Warrants together with two series of warrants, Series 1 Warrants and Series 2 Warrants, to purchase an aggregate of 7,451,564 shares of the Common Stock (the “Series Warrants”). The Pre-Funded Warrants were exercisable immediately upon issuance at an initial exercise price of $0.0001 per share and have a term of 20 years. The shares of Common Stock, or Pre-Funded Warrants, and the accompanying Series Warrants were immediately separable and were issued separately, but they were purchased together in the offering.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offering price for the shares of Common Stock is $6.71 per share (or $6.7099 for each Pre-Funded Warrant, which equals the price per share of the Common Stock less the exercise price of the Pre-Funded Warrants). The aggregate gross proceeds to the Company from this offering were approximately $50.0 million before any offering expenses, and excluding any proceeds the Company may receive upon exercise of the Pre-Funded Warrants and Series Warrants. The Company incurred offering costs of approximately $0.3 million, which were treated as a reduction to equity. No underwriter or placement agent participated in the offering. As the Pre-funded Warrants are indexed to the Company’s common stock (and otherwise meet the requirements to be classified in equity), the Pre-Funded Warrants were classified as a component of permanent equity on the Company’s condensed consolidated balance sheets and statements of stockholder’s deficit.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Series Warrants are also immediately exercisable. Each of the 3,725,782 Series 1 Warrants have an initial exercise price of $13.42 per share of Common Stock, subject to certain customary anti-dilution adjustments, and expires on June 30, 2027. Each of the 3,725,782 Series 2 Warrants have an initial exercise price of $20.13 per share of Common Stock, subject to certain customary anti-dilution adjustments, and expires on December 31, 2030. For the Series Warrants, the Investor may elect to receive, in lieu of shares of Common Stock, pre-funded warrants to purchase an equivalent number of shares of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prior to the expiration date of the Series Warrant, the Company sells additional capital stock or derivative securities convertible into or exercisable for capital stock (other than Exempted Securities as defined by the Series Warrant) in one or more related transactions primarily for the purpose of raising capital at a Weighted-Average Price (as described below) below $13.42 per share, then the initial exercise price of the Series Warrants will be automatically reset upon exercise to an exercise price (the “Adjusted Exercise Price”) that is the midpoint between the initial exercise price and the lowest Weighted-Average Price per share at which the Company sells capital stock or derivative securities convertible into or exercisable for capital stock in a subsequent offering prior to the exercise date; provided, however, that the Adjusted Exercise Price will not be reduced below $6.71 per share. The Weighted-Average Price shall be calculated as the weighted-average common stock equivalent price of the equity securities sold in such transaction(s) (excluding any derivative securities with an exercise or conversion price that is above the closing sale price as of the time of pricing such offering(s)). In no event will the exercise price for the Series Warrants be adjusted more than once pursuant to this adjustment mechanism.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Series Warrants (and the Pre-Funded Warrants) may not be exercised by the holder to the extent that the holder, together with its affiliates, would beneficially own, after such exercise more than 9.99% of the shares of the Company’s common stock then outstanding (subject to the right of the holder to increase or decrease such beneficial ownership limitation upon notice to the Company, provided that such limitation cannot exceed 19.99%) and provided that any increase in the beneficial ownership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limitation shall not be effective until 61 days after such notice is delivered. As of June 30, 2026, no Pre-Funded or Series Warrants have been exercised.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Series Warrants are also indexed to the Company’s common stock (and otherwise meet the requirements to be classified in equity) and were classified as a component of permanent equity on the Company’s condensed consolidated balance sheets and statements of stockholder’s deficit.</w:t>
      </w:r>
    </w:p>
    <w:p>
      <w:pPr>
        <w:pStyle w:val="TextBody"/>
        <w:bidi w:val="0"/>
        <w:spacing w:lineRule="auto" w:line="288" w:before="120" w:after="283"/>
        <w:jc w:val="left"/>
        <w:rPr/>
      </w:pPr>
      <w:r>
        <w:rPr>
          <w:rFonts w:ascii="Times New Roman;serif" w:hAnsi="Times New Roman;serif"/>
          <w:b w:val="false"/>
          <w:color w:val="000000"/>
          <w:sz w:val="20"/>
        </w:rPr>
        <w:t>Because each of the instruments issued are classified within permanent equity, the Company allocated the financing proceeds among the Common Stock, Pre-Funded Warrants, and Series Warrants based on each instrument’s relative fair value. The Company valued the Series Warrants at issuance using Monte Carlo Simulation model and determined the fair value of the 7,451,564 Series Warrants to be $12.2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 xml:space="preserve">The key inputs to the valuation model included the weighted average volatility of 88.2% and the weighted average expected term of 4.13 years.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April 15, 2022, the Company entered into a sales agreement (the “Sales Agreement”) with Cowen and Company, LLC (“Cowen”) with respect to an at-the-market offering (the “ATM Offering”) pursuant to which the Company, at its discretion, may offer and sell shares of its Common Stock having an aggregate offering price of up to $200.0 million from time to time through Cowen as its sales agent. Sales of Common Stock through Cowen, if any, will be made by any method permitted by law deemed to be an “at the market offering” as defined in Rule 415(a)(4) under the Securities Act of 1933, as amended. The Company will pay Cowen a commission of up to 3.0% of the gross sales price of any Common Stock sold through Cowen under the Sales Agreement.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20, 2025, the Company and TD Securities (USA) LLC, as successor to Cowen (“TD Cowen”) entered into amended the sales agreement (the “Amended Sales Agreement”), which, among other things, reduced the amount of shares of Common Stock that may be sold under the ATM Offering to up to $100 million of shares of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issued and sold no shares of its Common Stock under the ATM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pre-funded warrants outstanding at each period end were included in the basic and diluted net loss per share calculation:</w:t>
      </w:r>
    </w:p>
    <w:tbl>
      <w:tblPr>
        <w:tblW w:w="6683" w:type="dxa"/>
        <w:jc w:val="left"/>
        <w:tblInd w:w="0" w:type="dxa"/>
        <w:tblLayout w:type="fixed"/>
        <w:tblCellMar>
          <w:top w:w="28" w:type="dxa"/>
          <w:left w:w="28" w:type="dxa"/>
          <w:bottom w:w="28" w:type="dxa"/>
          <w:right w:w="28" w:type="dxa"/>
        </w:tblCellMar>
      </w:tblPr>
      <w:tblGrid>
        <w:gridCol w:w="1422"/>
        <w:gridCol w:w="1250"/>
        <w:gridCol w:w="1258"/>
        <w:gridCol w:w="540"/>
        <w:gridCol w:w="541"/>
        <w:gridCol w:w="156"/>
        <w:gridCol w:w="109"/>
        <w:gridCol w:w="109"/>
        <w:gridCol w:w="109"/>
        <w:gridCol w:w="488"/>
        <w:gridCol w:w="488"/>
        <w:gridCol w:w="213"/>
      </w:tblGrid>
      <w:tr>
        <w:trPr/>
        <w:tc>
          <w:tcPr>
            <w:tcW w:w="14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Pre-funded warrants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11,916,079 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7,220,794 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no pre-funded warrants were exercised.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common stock equivalents presented based on amounts outstanding at each period end have been excluded from the calculation of diluted net loss per share because including them would have had an anti-dilutive impact:</w:t>
      </w:r>
    </w:p>
    <w:tbl>
      <w:tblPr>
        <w:tblW w:w="6307" w:type="dxa"/>
        <w:jc w:val="left"/>
        <w:tblInd w:w="0" w:type="dxa"/>
        <w:tblLayout w:type="fixed"/>
        <w:tblCellMar>
          <w:top w:w="28" w:type="dxa"/>
          <w:left w:w="28" w:type="dxa"/>
          <w:bottom w:w="28" w:type="dxa"/>
          <w:right w:w="28" w:type="dxa"/>
        </w:tblCellMar>
      </w:tblPr>
      <w:tblGrid>
        <w:gridCol w:w="1247"/>
        <w:gridCol w:w="1099"/>
        <w:gridCol w:w="1103"/>
        <w:gridCol w:w="540"/>
        <w:gridCol w:w="541"/>
        <w:gridCol w:w="156"/>
        <w:gridCol w:w="109"/>
        <w:gridCol w:w="109"/>
        <w:gridCol w:w="109"/>
        <w:gridCol w:w="540"/>
        <w:gridCol w:w="541"/>
        <w:gridCol w:w="213"/>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14,069,909 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10,813,194 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21,539,918 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10,831,639 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7. Stock-Based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2020 Equity Incentive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2020 Equity Incentive Plan (the “2020 Plan”) provides for the grant of incentive stock options, non-qualified options, stock appreciation rights, restricted stock awards, restricted stock units and other stock-based awards. The number of shares initially reserved for issuance under the 2020 Plan was (i) 2,200,000 shares (the “share pool”), plus (ii) the number of shares of common stock available for issuance under the Company’s 2016 Stock Incentive Plan (the “2016 Plan”) as of the effective date of the 2020 Plan, plus the number of shares of Common Stock underlying awards under the 2016 Plan that on or after the date of adoption expire or become unexercisable without delivery of shares, are forfeited to, or repurchased for cash, are settled in cash, or otherwise become available again for grant under the 2016 Plan, in each case, in accordance with its terms (up to an aggregate of 5,078,295 shares). As of June 30, 2026, 1,924,115 shares remained available for future grant under the 2020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share pool will automatically increase on January 1 of each year from 2021 to 2030 by the lesser of (i) four percent of the number of shares of our Common Stock outstanding as of the close of business on the immediately preceding December 31 and (ii) the number of shares determined by the board of directors on or prior to such date for such year. The number of shares reserved for issuance under the 2020 Plan was increased by 2,266,293 shares effective January 1,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2020 Plan is administered by the board of directors or, at the discretion of the board of directors, by a committee of the board of directors. The exercise prices, vesting and other restrictions are determined at the discretion of the board of directors, or its committee if so delegated. Stock options granted with service-based vesting conditions generally vest over four years and expire after ten years. The exercise price for stock options granted is not less than the fair value of Common Stock on the date of grant. The Company bases fair value of common stock on the quoted market price.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2020 Employee Stock Purchase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21, 2020, the Company’s board of directors adopted and its stockholders approved the 2020 Employee Stock Purchase Plan (the “ESPP”), which became effective on October 21, 2020. The aggregate number of shares of Common Stock available for purchase pursuant to the exercise of options under the ESPP is 360,000 shares, plus an automatic annual increase, as of January 1 of each year from 2021 to 2030, equal to the lesser of one percent of the number of shares of Common Stock outstanding as of the close of business on the immediately preceding December 31 and (ii) the number of shares determined by the board of directors on or prior to such date for such year (up to a maximum of 3,220,520 shares). The number of shares reserved for issuance under the ESPP was increased by 566,573 shares effective January 1, 2026. As of June 30, 2026, 2,633,981 shares remained available for future grant under the ESPP. </w:t>
      </w:r>
    </w:p>
    <w:p>
      <w:pPr>
        <w:pStyle w:val="TextBody"/>
        <w:bidi w:val="0"/>
        <w:spacing w:lineRule="auto" w:line="288" w:before="120" w:after="283"/>
        <w:jc w:val="left"/>
        <w:rPr/>
      </w:pPr>
      <w:r>
        <w:rPr>
          <w:rFonts w:ascii="Times New Roman;serif" w:hAnsi="Times New Roman;serif"/>
          <w:b w:val="false"/>
          <w:color w:val="000000"/>
          <w:sz w:val="20"/>
        </w:rPr>
        <w:t>Eligible employees may authorize payroll deductions of up to 15% of their eligible compensation during an offering period. The purchase of shares is done at a 15% discount on the lesser of (i) the Fair Market Value of a share of Stock on the first day of the offering period and (ii) the Fair Market Value of a share of Stock on the last day of the offering period. The Company currently holds two offering periods, September 1 and March 1, respectively.</w:t>
      </w:r>
      <w:r>
        <w:rPr>
          <w:color w:val="FF0000"/>
        </w:rPr>
        <w:t xml:space="preserve"> </w:t>
      </w:r>
      <w:r>
        <w:rPr>
          <w:rFonts w:ascii="Times New Roman;serif" w:hAnsi="Times New Roman;serif"/>
          <w:b w:val="false"/>
          <w:color w:val="000000"/>
          <w:sz w:val="20"/>
        </w:rPr>
        <w:t>The Company recognized a de minimis amount of expense related to the ESPP for the three and six months ended June 30, 2026 and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updated its methodology for estimating expected volatility used in the Black</w:t>
        <w:noBreakHyphen/>
        <w:t>Scholes option pricing model to determine the fair value of stock-based compensation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Previously, as disclosed in the Company’s Annual Report on Form 10</w:t>
        <w:noBreakHyphen/>
        <w:t xml:space="preserve">K for the year ended December 31, 2025, the Company historically estimated expected volatility based on the historical volatility of a group of publicly traded peer companies. This approach was utilized because the Company did not have sufficient historical trading data for its common stock to provide a reasonable basis for estimating expected volatility.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current period, the Company determined that it now has adequate historical trading information to support the use of the volatility of its own common stock. Accordingly, the Company has commenced estimating expected volatility based on the historical volatility of its own share price over a period commensurate with the expected term of the awards. The Company believes this change better reflects the expected volatility of its common stock and is consistent with the guidance in ASC 718, Compensation—Stock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was classified in the condensed consolidated statements of operations and comprehensive loss as follows (in thousands):</w:t>
      </w:r>
    </w:p>
    <w:tbl>
      <w:tblPr>
        <w:tblW w:w="7922" w:type="dxa"/>
        <w:jc w:val="left"/>
        <w:tblInd w:w="0" w:type="dxa"/>
        <w:tblLayout w:type="fixed"/>
        <w:tblCellMar>
          <w:top w:w="28" w:type="dxa"/>
          <w:left w:w="28" w:type="dxa"/>
          <w:bottom w:w="28" w:type="dxa"/>
          <w:right w:w="28" w:type="dxa"/>
        </w:tblCellMar>
      </w:tblPr>
      <w:tblGrid>
        <w:gridCol w:w="1120"/>
        <w:gridCol w:w="982"/>
        <w:gridCol w:w="987"/>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total unrecognized compensation cost related to unvested options was $23.0 million, which is expected to be recognized over a weighted average period of 2.8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8. Collaboration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Lilly Collaboration Agreement and Stock Purchase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2021, the Company entered into a collaboration agreement (the “Lilly Collaboration Agreement”) with Eli Lilly and Company (“Lilly”) to create novel oncology medicines by applying Foghorn’s proprietary Gene Traffic Control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collaboration includes a co-development and co-commercialization agreement for the Company’s selective SMARCA2 (BRM) oncology target, consisting of two programs, and one additional undisclosed oncology target (collectively, the “Joint Programs”). The collaboration also includes three additional discovery targets or programs (collectively, the “Discovery Programs”) for a total of six programs directed at five targets.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 respect to the Joint Programs, the Company will lead discovery and early research activities through the successful completion of dose finding toxicity studies for the identified compound, while Lilly will lead development and commercialization activities of the identified compound with participation from the Company in development activities and 50% cost sharing until registrational clinical trials. The Company and Lilly may jointly develop and commercialize the Joint Program compound though the Company may, in its sole discretion, opt-out on a program-by-program basis of further participation in the development and commercialization efforts prior to the first registrational clinical trial. If the Company does not opt-out, Lilly and the Company will continue to share in the costs to further develop and commercialize the Joint Program compound on a worldwide basis, equally share in the U.S. profits on product sales, subject to certain adjustments and receive royalties on sales outside of the United States (“Ex-U.S.”) at royalty rates ranging from low double digits to high twenties. If the Company opts-out of further development and commercialization efforts, it will have no further obligations to share in the development and commercialization costs, will receive royalties rather than profit share on U.S. sales and will receive royalties at a lower rate on Ex-U.S.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 respect to the Discovery Programs, the Company will lead discovery and early research activities through the successful completion of dose finding toxicity studies for the identified compounds. The Company may, in its sole discretion, opt-in on a program-by-program basis after the successful completion of dose finding toxicity to participate in the further development and commercialization efforts of the Discovery Program compounds. If the Company opts-in to the development and commercialization of the Discovery Program compounds, it will be eligible to receive milestone payments of up to $10.0 million per program upon specified research and development milestones and up to $180.0 million per program upon achievement of specified regulatory and commercial milestones and will also be eligible to share in the U.S. profits at pre-determined percentages on product sales. The Company would also be eligible to receive tiered Ex-U.S. royalty rates, calculated on a product-by-product and country-by-country basis, on net sales outside of the United States, if any, ranging from low single digits to low double digits, but less then teens. If the Company does not opt-in to further development and commercialization efforts for the Discovery Programs, it will be eligible to receive milestone payments of up to $70.0 million per program upon specified research and development milestones and up to $360.0 million per program upon achievement of specified regulatory and commercial milestones per approved product, if any. The Company would also be eligible to receive tiered royalties on net sales of products worldwide at royalty rates ranging from low single digits to low double digits, but less than teens.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Lilly has the right to make substitutions for each of the five targets during the research term of each program, subject to certain limitations. Pursuant to the Lilly Collaboration Agreement, the Company will also participate in joint decision-making through the joint steering committee and subcommittees. Unless terminated earlier, the Lilly Collaboration Agreement will continue on a product-by-product basis until the expiration of all royalty obligations under the Lilly Collaboration Agreement and when neither the Company nor Lilly is developing, commercializing or manufacturing any product under the Lilly Collaboration Agreement. The Company or Lilly may terminate the Lilly Collaboration Agreement upon an uncured material breach by the other party. Lilly may also terminate the Lilly Collaboration Agreement in its entirety or on a target-by-target, program-by-program or product-by-product basis for any reason upon certain notice to the Company.</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determined that (1) the research activities performed by the Company for both the Joint Programs and the Discovery Programs (2) the development activities and cost sharing for the Joint Program development efforts after dose finding toxicity until registrational clinical trials (3) the research, development, manufacture and commercialization licenses and (4) service on the joint steering committee and subcommittees represent a single performance obligation under the Lilly Collaboration Agreement. The Company determined that Lilly cannot benefit from the licenses separately from the research activities, the development activities until registrational clinical trials and participation on the joint steering committee and subcommittees because these services are specialized and rely on the Company’s expertise such that these activities are highly interrelated and therefore not distinct. Accordingly, the promised goods and services represent one combined performance obligation, and the entire transaction price was allocated to that single combined performance obligation. The performance obligation will be satisfied over time as the Company performs the research activities, participates and shares in the cost of the development activities for the Joint Programs and participates in a joint steering committee and subcommittees to oversee these activities.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options to share in further development and commercialization efforts via its opt-in/opt-out rights will be assessed and accounted for as separate units of accounting under the relevant guidance if, and when, such options are exercised by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2023, the Company transitioned the SMARCA2 (BRM) Selective inhibitor, FHD-909, into development activities for which Lilly leads and the Company participates and shares in 50% of the costs until at least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registrational trials. Costs incurred will continue to be included in research and development expenses on the condensed consolidated statements of operations and comprehensive loss.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aggregate amount of the transaction price related to the unsatisfied portion of the performance obligation was $229.8 million, which is expected to be recognized as revenue through 2029 or beyond depending on the timing of certain clinical development activities. The Company does not expect collaboration revenue to be recognized evenly over this period as it will be recognized on a percentage of completion basis (using cost-to-cost method) as the Company performs the research and development activities and participates on the joint steering committee and subcommittees, which will likely vary from period to period. In estimating the total costs to satisfy its single performance obligation pursuant to the Lilly Collaboration Agreement, the Company is required to make significant estimates including the expected time and expected costs to fulfill the performance obligation. If estimates of the total estimated cost change, or if contract amendments change the scope of the performance obligations, the impacts could be material. The cumulative effect of revisions to the total estimated costs to complete the Company’s single performance obligation will be recorded in the period in which the changes are identified, and amounts can be reasonably estimated. A significant change in these assumptions and estimates could have a material impact on the timing and amount of revenue recognized in future periods and the classification of deferred revenue between short-term and long-term.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Company recorded $16.1 million and $7.6 million, respectively, of revenue under the Lilly Collaboration Agreement, which was included in deferred revenue at the beginning of the respective periods. For the six months ended June 30, 2026 and 2025, the Company recorded $19.3 million and $13.5 million, respectively, of revenue under the Lilly Collaboration Agreement, which was included in deferred revenue at the beginning of the respective periods. Included in the three and six months ended June 30, 2026 revenue amounts was a $14.2 million cumulative catch-up adjustment to reflect updated future costs primarily due to the scheduled expiration of the research term in December 2026. As of June 30, 2026 and December 31, 2025, the Company had a payable to Lilly of $3.0 million and $1.0 million, respectively, recorded in accrued expenses and other current liabilities on the Company’s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120" w:after="283"/>
        <w:jc w:val="left"/>
        <w:rPr/>
      </w:pPr>
      <w:r>
        <w:rPr>
          <w:rFonts w:ascii="Times New Roman;serif" w:hAnsi="Times New Roman;serif"/>
          <w:b w:val="false"/>
          <w:color w:val="000000"/>
          <w:sz w:val="20"/>
        </w:rPr>
        <w:t xml:space="preserve">The Company leases laboratory and office space under a non-cancelable operating lease (the “Operating Lease”). There have been no material changes to the Company's Operating Lease during the three and six months ended June 30, 2026. For additional information, see Note 10, </w:t>
      </w:r>
      <w:r>
        <w:rPr>
          <w:rFonts w:ascii="Times New Roman;serif" w:hAnsi="Times New Roman;serif"/>
          <w:b w:val="false"/>
          <w:i/>
          <w:color w:val="000000"/>
          <w:sz w:val="20"/>
        </w:rPr>
        <w:t>Leases</w:t>
      </w:r>
      <w:r>
        <w:rPr>
          <w:rFonts w:ascii="Times New Roman;serif" w:hAnsi="Times New Roman;serif"/>
          <w:b w:val="false"/>
          <w:color w:val="000000"/>
          <w:sz w:val="20"/>
        </w:rPr>
        <w:t>, to the consolidated financial statements in the Company's Annual Report on Form 10-K for the year ended December 31,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for the three and six months ended June 30, 2026 and 2025 (in thousands):</w:t>
      </w:r>
    </w:p>
    <w:tbl>
      <w:tblPr>
        <w:tblW w:w="6588" w:type="dxa"/>
        <w:jc w:val="left"/>
        <w:tblInd w:w="0" w:type="dxa"/>
        <w:tblLayout w:type="fixed"/>
        <w:tblCellMar>
          <w:top w:w="28" w:type="dxa"/>
          <w:left w:w="28" w:type="dxa"/>
          <w:bottom w:w="28" w:type="dxa"/>
          <w:right w:w="28" w:type="dxa"/>
        </w:tblCellMar>
      </w:tblPr>
      <w:tblGrid>
        <w:gridCol w:w="635"/>
        <w:gridCol w:w="558"/>
        <w:gridCol w:w="562"/>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 related to leases was as follows (in thousands):</w:t>
      </w:r>
    </w:p>
    <w:tbl>
      <w:tblPr>
        <w:tblW w:w="9372" w:type="dxa"/>
        <w:jc w:val="left"/>
        <w:tblInd w:w="0" w:type="dxa"/>
        <w:tblLayout w:type="fixed"/>
        <w:tblCellMar>
          <w:top w:w="28" w:type="dxa"/>
          <w:left w:w="28" w:type="dxa"/>
          <w:bottom w:w="28" w:type="dxa"/>
          <w:right w:w="28" w:type="dxa"/>
        </w:tblCellMar>
      </w:tblPr>
      <w:tblGrid>
        <w:gridCol w:w="2628"/>
        <w:gridCol w:w="2314"/>
        <w:gridCol w:w="2318"/>
        <w:gridCol w:w="219"/>
        <w:gridCol w:w="422"/>
        <w:gridCol w:w="113"/>
        <w:gridCol w:w="113"/>
        <w:gridCol w:w="113"/>
        <w:gridCol w:w="113"/>
        <w:gridCol w:w="219"/>
        <w:gridCol w:w="640"/>
        <w:gridCol w:w="160"/>
      </w:tblGrid>
      <w:tr>
        <w:trPr/>
        <w:tc>
          <w:tcPr>
            <w:tcW w:w="2628"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liabilities arising from obtaining right-of-use assets</w:t>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operating lease liabilities and right-of-use assets due to lease remeasurement</w:t>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0"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discount rate was as follows:</w:t>
      </w:r>
    </w:p>
    <w:tbl>
      <w:tblPr>
        <w:tblW w:w="8632" w:type="dxa"/>
        <w:jc w:val="left"/>
        <w:tblInd w:w="0" w:type="dxa"/>
        <w:tblLayout w:type="fixed"/>
        <w:tblCellMar>
          <w:top w:w="28" w:type="dxa"/>
          <w:left w:w="28" w:type="dxa"/>
          <w:bottom w:w="28" w:type="dxa"/>
          <w:right w:w="28" w:type="dxa"/>
        </w:tblCellMar>
      </w:tblPr>
      <w:tblGrid>
        <w:gridCol w:w="2038"/>
        <w:gridCol w:w="1790"/>
        <w:gridCol w:w="1797"/>
        <w:gridCol w:w="255"/>
        <w:gridCol w:w="256"/>
        <w:gridCol w:w="624"/>
        <w:gridCol w:w="109"/>
        <w:gridCol w:w="109"/>
        <w:gridCol w:w="109"/>
        <w:gridCol w:w="314"/>
        <w:gridCol w:w="314"/>
        <w:gridCol w:w="917"/>
      </w:tblGrid>
      <w:tr>
        <w:trPr/>
        <w:tc>
          <w:tcPr>
            <w:tcW w:w="203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term—operating leases (in years)</w:t>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rate—operating leases</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6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9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Future annual minimum lease payments under the Office Lease as of June 30, 2026 were as follows (in thousands):</w:t>
      </w:r>
    </w:p>
    <w:tbl>
      <w:tblPr>
        <w:tblW w:w="4266" w:type="dxa"/>
        <w:jc w:val="left"/>
        <w:tblInd w:w="0" w:type="dxa"/>
        <w:tblLayout w:type="fixed"/>
        <w:tblCellMar>
          <w:top w:w="28" w:type="dxa"/>
          <w:left w:w="28" w:type="dxa"/>
          <w:bottom w:w="28" w:type="dxa"/>
          <w:right w:w="28" w:type="dxa"/>
        </w:tblCellMar>
      </w:tblPr>
      <w:tblGrid>
        <w:gridCol w:w="1151"/>
        <w:gridCol w:w="1011"/>
        <w:gridCol w:w="1018"/>
        <w:gridCol w:w="211"/>
        <w:gridCol w:w="72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 (six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91" w:type="dxa"/>
        <w:jc w:val="left"/>
        <w:tblInd w:w="0" w:type="dxa"/>
        <w:tblLayout w:type="fixed"/>
        <w:tblCellMar>
          <w:top w:w="28" w:type="dxa"/>
          <w:left w:w="28" w:type="dxa"/>
          <w:bottom w:w="28" w:type="dxa"/>
          <w:right w:w="28" w:type="dxa"/>
        </w:tblCellMar>
      </w:tblPr>
      <w:tblGrid>
        <w:gridCol w:w="1811"/>
        <w:gridCol w:w="1588"/>
        <w:gridCol w:w="1596"/>
        <w:gridCol w:w="228"/>
        <w:gridCol w:w="779"/>
        <w:gridCol w:w="117"/>
        <w:gridCol w:w="109"/>
        <w:gridCol w:w="109"/>
        <w:gridCol w:w="109"/>
        <w:gridCol w:w="300"/>
        <w:gridCol w:w="1026"/>
        <w:gridCol w:w="219"/>
      </w:tblGrid>
      <w:tr>
        <w:trPr/>
        <w:tc>
          <w:tcPr>
            <w:tcW w:w="181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Included in the consolidated balance sheets (in thousands):</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Sublease agreements</w:t>
      </w:r>
    </w:p>
    <w:p>
      <w:pPr>
        <w:pStyle w:val="TextBody"/>
        <w:bidi w:val="0"/>
        <w:spacing w:lineRule="auto" w:line="288" w:before="120" w:after="283"/>
        <w:jc w:val="left"/>
        <w:rPr/>
      </w:pPr>
      <w:r>
        <w:rPr>
          <w:rFonts w:ascii="Times New Roman;serif" w:hAnsi="Times New Roman;serif"/>
          <w:b w:val="false"/>
          <w:color w:val="000000"/>
          <w:sz w:val="20"/>
        </w:rPr>
        <w:t xml:space="preserve">Through December 2025, the Company had subleased portions of premises under a previous office lease in Cambridge, Massachusetts. For additional information, see Note 10, </w:t>
      </w:r>
      <w:r>
        <w:rPr>
          <w:rFonts w:ascii="Times New Roman;serif" w:hAnsi="Times New Roman;serif"/>
          <w:b w:val="false"/>
          <w:i/>
          <w:color w:val="000000"/>
          <w:sz w:val="20"/>
        </w:rPr>
        <w:t>Leases</w:t>
      </w:r>
      <w:r>
        <w:rPr>
          <w:rFonts w:ascii="Times New Roman;serif" w:hAnsi="Times New Roman;serif"/>
          <w:b w:val="false"/>
          <w:color w:val="000000"/>
          <w:sz w:val="20"/>
        </w:rPr>
        <w:t xml:space="preserve">, to the consolidated financial statements in the Company's Annual Report on Form 10-K for the year ended December 31,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Company recorded no other income related to subleases as the Company has no subleases as of June 30, 2026. For the three and six months ended June 30, 2025, the Company recorded other income of $0.9 million and $2.3 million, respectively, related to its subleases.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jc w:val="left"/>
        <w:rPr/>
      </w:pPr>
      <w:r>
        <w:rPr>
          <w:rFonts w:ascii="Times New Roman;serif" w:hAnsi="Times New Roman;serif"/>
          <w:b w:val="false"/>
          <w:color w:val="000000"/>
          <w:sz w:val="20"/>
        </w:rPr>
        <w:t>The Company’s commitments under its lease are described in Note</w:t>
      </w:r>
      <w:r>
        <w:rPr>
          <w:color w:val="000000"/>
        </w:rPr>
        <w:t xml:space="preserve"> </w:t>
      </w:r>
      <w:r>
        <w:rPr>
          <w:rFonts w:ascii="Times New Roman;serif" w:hAnsi="Times New Roman;serif"/>
          <w:b w:val="false"/>
          <w:color w:val="000000"/>
          <w:sz w:val="20"/>
        </w:rPr>
        <w:t>9.</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License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various exclusive and non-exclusive license agreements for certain technologies. Under the terms of these license agreements, the Company could be required to reimburse the licensors for patent expenses and remit amounts in the low single-digit as sales-based royalties upon the occurrence of specific events as outlined in the corresponding license agreements. The Company is also required to make annual license maintenance fees of less than $0.1 million and pay up to $1.1 million in regulatory milestones on each licensed product upon the occurrence of specific events as outlined in one of the license agreements. None of our current product candidates utilizes technologies covered by these licenses.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 of varying scope and terms to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litigation or other legal proceedings. The Company is not currently a party to any material litigation or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the Company was notified that it is currently under IRS audit related to the tax year ended December 31, 2023. The Company is currently evaluating the scope and potential outcomes of the tax audit.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80"/>
        <w:jc w:val="left"/>
        <w:rPr>
          <w:rFonts w:ascii="Times New Roman;serif" w:hAnsi="Times New Roman;serif"/>
          <w:b/>
          <w:color w:val="000000"/>
          <w:sz w:val="20"/>
        </w:rPr>
      </w:pPr>
      <w:r>
        <w:rPr>
          <w:rFonts w:ascii="Times New Roman;serif" w:hAnsi="Times New Roman;serif"/>
          <w:b/>
          <w:color w:val="000000"/>
          <w:sz w:val="20"/>
        </w:rPr>
        <w:t>11. Related Parties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2015, the Company entered into a five-year consulting agreement with a scientific founder of the Company who is also a shareholder. This agreement was amended and extended to January 1, 2027 and is subject to automatic one-year renewal terms until terminated if notice is provided more than 30 days before the current end of term date. During the three months ended June 30, 2026 and 2025, the Company paid the scientific founder a de minimis amount. During the six months ended June 30, 2026 and 2025, the Company paid the scientific founder $0.1 million. As of June 30, 2026 and December 31, 2025, the Company had no accounts payable due to the scientific founder.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December 10, 2021, we entered into the Lilly Collaboration Agreement with Lilly. Concurrent with the Lilly Collaboration Agreement the Company also entered into a stock purchase agreement with Lilly (the “Lilly SPA”) where the Company issued and sold Lilly 4,000,000 shares of our Common Stock at a price of $20.00 per share, making them a 5% or greater shareholder in the Company for the six months ended June 30, 2026 and 2025. We are obligated to make certain payments to Lilly pursuant to the Lilly Collaboration Agreement. During the three months ended June 30, 2026 and 2025, the Company paid Lilly $1.0 million and $1.4 million, respectively. During the six months ended June 30, 2026 and 2025, the Company paid Lilly $2.0 million. As of June 30, 2026 and December 31, 2025, the Company had a payable of $3.0 million and $1.0 million, respectively, due to Lilly.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January 9, 2026, funds affiliated with Flagship Pioneering, Inc. (“Flagship”), a 5% or greater shareholder in the Company, participated in the January 2026 Offering, purchasing pre-funded warrants to purchase 2,235,468 shares of its Common Stock at a public offering price of $6.71 per pre-funded warrant, with an exercise price of $0.0001 per share of each pre-funded warrant. The Company sold the pre-funded Warrants together with two series of warrants, Series 1 Warrants and Series 2 Warrants, to purchase an aggregate of 2,235,468 shares of the Common Stock (See Note 6 for additional information on the Series Warrants). Flagship’s participation in the January 2026 Offering resulted in total gross proceeds to the Company of $15.0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9, 2026, BVF Partners LP (“BVF”), a 5% or greater shareholder in the Company, participated in the January 2026 Offering, purchasing 540,000 shares of its Common Stock at a public offering price of $6.71 per share as well as pre-funded warrants to purchase 3,185,782 shares of its Common Stock at a public offering price of $6.7099 per pre-funded warrant, with an exercise price of $0.0001 per share of each pre-funded warrant. The Company sold the shares of Common Stock and pre-funded warrants together with two series of warrants, Series 1 Warrants and Series 2 Warrants, to purchase an aggregate of 3,725,782 shares of the Common Stock (See Note 6 for additional information on the Series Warrants). BVF’s participation in the January 2026 Offering resulted in total gross proceeds to the Company of $25.0 million.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January 9, 2026, Deerfield Management Co. LP (“Deerfield”), a 5% or greater shareholder in the Company, participated in the January 2026 Offering, purchasing 745,156 shares of its Common Stock at a public offering price of $6.71 per share. The Company sold the shares of Common Stock together with two series of warrants, Series 1 Warrants and Series 2 Warrants, to purchase an aggregate of 745,156 shares of the Common Stock (See Note 6 for additional information on the Series Warrants). Deerfield’s participation in the January 2026 Offering resulted in total gross proceeds to the Company of $5.0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January 9, 2026, FMR LLC (“FMR”), a 5% or greater shareholder in the Company, participated in the January 2026 Offering, purchasing 745,158 shares of its Common Stock at a public offering price of $6.71 per share. The Company sold the shares of Common Stock together with two series of warrants, Series 1 Warrants and Series 2 Warrants, to purchase an aggregate of 745,158 shares of the Common Stock (See Note 6 for additional information on the Series Warrants). FMR’s participation in the January 2026 Offering resulted in total gross proceeds to the Company of $5.0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Segment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entity for which separate discrete financial information is made available and that is regularly evaluated by the chief operating decision maker (“CODM”) in making decisions regarding resource allocation and assessing performance. The Company manages its operations as a single segment (the “Segment”) for the purposes of assessing performance and making operating decisions. The CODM of the Segment is the Company’s chief executive officer. The Segment is focused on pioneering the discovery and development of a new class of medicines targeting genetically determined dependencies within the chromatin regulatory system. The Segment’s revenue is derived entirely from the recognition of deferred revenue related to our collaboration agreement upfront and milestone payment and funds received under the Lilly SPA (see Note 8, Collaboration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CODM assesses the performance of the Segment and decides how to allocate resources based on net loss that is reported on the condensed consolidated statements of operations and comprehensive loss. Further, the following represents information about segment revenue, segment loss and significant segment expenses (in thousands): </w:t>
      </w:r>
    </w:p>
    <w:tbl>
      <w:tblPr>
        <w:tblW w:w="10086" w:type="dxa"/>
        <w:jc w:val="left"/>
        <w:tblInd w:w="0" w:type="dxa"/>
        <w:tblLayout w:type="fixed"/>
        <w:tblCellMar>
          <w:top w:w="28" w:type="dxa"/>
          <w:left w:w="28" w:type="dxa"/>
          <w:bottom w:w="28" w:type="dxa"/>
          <w:right w:w="28" w:type="dxa"/>
        </w:tblCellMar>
      </w:tblPr>
      <w:tblGrid>
        <w:gridCol w:w="1507"/>
        <w:gridCol w:w="1320"/>
        <w:gridCol w:w="1327"/>
        <w:gridCol w:w="211"/>
        <w:gridCol w:w="721"/>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671"/>
      </w:tblGrid>
      <w:tr>
        <w:trPr/>
        <w:tc>
          <w:tcPr>
            <w:tcW w:w="150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13,509 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11,962 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FHD-286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6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Lilly partnered programs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10,183 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programs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7,257 </w:t>
            </w:r>
          </w:p>
        </w:tc>
        <w:tc>
          <w:tcPr>
            <w:tcW w:w="671" w:type="dxa"/>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operating and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administrative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67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Facilities and IT related expenses, net of sublease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erif" w:hAnsi="Times New Roman;serif"/>
                <w:b w:val="false"/>
                <w:color w:val="000000"/>
                <w:sz w:val="20"/>
              </w:rPr>
              <w:t>Other expenses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(36,770)</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 Inclusive of $2.6 million and $2.7 million of stock compensation expense for the three months ended June 30, 2026 and 2025, respectively; $0.2 million and $0.9 million of depreciation and amortization expense for the three months ended June 30, 2026 and 2025, respectively. Inclusive of $4.9 million and $5.4 million of stock compensation expense for the six months ended June 30, 2026 and 2025, respectively; $0.5 million and $1.7 million of depreciation and amortization expense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unaudited condensed consolidated financial statements and the related notes to those statements included elsewhere in this Quarterly Report on Form 10-Q.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“Risk Factors” in our Annual Report on Form 10-K for the fiscal year ended December 31, 2025 and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Foghorn is a clinical stage, precision therapeutics biotechnology company pioneering a new class of medicines that treat serious diseases by correcting abnormal gene expression through selectively targeting the chromatin regulatory system, an untapped opportunity for therapeutic intervention in oncology and with potential in a wide spectrum of other diseases including immunology and inflammation (“I&amp;I”).</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chromatin regulatory system orchestrates gene expression—the turning on and off of genes—which is fundamental to how all our cells function. The chromatin regulatory system is implicated in approximately 50 percent of all cancers, and understanding how this system works could lead to an entirely new class of precision medicines. To our knowledge, we are the only company with the ability to study and target the chromatin regulatory system at scale, in context, and in an integrated way.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proprietary Gene Traffic Control platform provides an integrated and mechanistic understanding of how the various components of the chromatin regulatory system interact, allowing us to identify, validate and potentially drug targets within this system. We have developed unique capabilities that have yielded new insights and scalability in drugging this new, previously untapped and promising area.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current pipeline consists of more than seven programs with one clinical-stage drug candidate currently in Phase 1 development. We have discovered highly selective chemical matter for some of the most challenging targets in oncology and I&amp;I, including SMARCA2 (BRM), CBP, EP300, and ARID1B as well as other undisclosed targets. We believe our current pipeline has the potential to help more than 500,000 patients. We take a small molecule, modality agnostic approach to drugging targets which includes protein degraders, allosteric enzymatic inhibitors, and transcription factor disruptors. We are a biology-first company, which means we focus first on the underlying genetics and biology of a disease relevant target and then leverage the most appropriate drugging approach to impact the disease biology.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Since our inception, we have focused substantially all of our resources on building our Gene Traffic Control platform, organizing and staffing our company, business planning, conducting discovery and research activities, raising capital, protecting our trade secrets, filing patent applications, identifying potential product candidates, undertaking preclinical studies and clinical trial activities, establishing arrangements with third parties for the manufacture of initial quantities of our product candidates and component materials and initiating two strategic collaborations. We do not have any products approved for sale and have not generated any revenue from product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December 10, 2021, we entered into a collaboration agreement (the “Lilly Collaboration Agreement”) with Eli Lilly and Company (“Lilly”), for which we received an upfront payment of $300.0 million in January 2022 (see Note 8 to our notes to unaudited condensed consolidated financial statements included elsewhere in this Quarterly Report on Form 10-Q). Concurrent with the Lilly Collaboration Agreement, we also entered into a stock purchase agreement (the “Lilly SPA”) with Lilly whereby we issued and sold Lilly 4,000,000 shares of our common stock, par value $0.0001 per share (“Common Stock”), at a price of $20.00 per share, resulting in net proceeds of $80.0 million, of which $42.2 million was allocated to equity upon the issuance of our common stock.</w:t>
        <w:br/>
        <w:br/>
        <w:t>The Lilly Collaboration Agreement generally provides that Lilly and Foghorn will co-develop and co-commercialize certain “joint” programs for the U.S., and these joint programs will be subject to a U.S. profit and expense share. Outside the U.S., the joint programs are subject to a world-wide research and development expense share and ex-U.S. royalties. The joint programs include the selective SMARCA2 oncology program that includes both a selective inhibitor (FHD-909) and a selective degrader, as well as an additional undisclosed oncology target. The collaboration also includes three discovery programs that will leverage Foghorn’s proprietary Gene Traffic Control platform which are subject to customary royalties and milestones and are not subject to co-development, co-commercialization rights.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FHD-909, a selective allosteric ATPase inhibitor of SMARCA2 developed in collaboration with Lilly, was transitioned to Lilly during the third quarter of 2023, which triggered the 50/50 cost share for the SMARCA2 programs. Costs related to the cost-share are included in research and development expenses on the consolidated statements of operations and comprehensive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2024, the first patient was dosed in a Phase 1 dose escalation study of FHD-909.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9, 2026, the Company entered into securities purchase agreements (the “Purchase Agreements”) with certain leading life sciences investors (the “Investors”), relating to the issuance and sale of 2,030,314 shares of its Common Stock and, in lieu of Common Stock, pre-funded warrants to purchase 5,421,250 shares of Common Stock (the “Pre-Funded Warrants”). The Company sold the shares of Common Stock and Pre-Funded Warrants together with two series of warrants, Series 1 Warrants and Series 2 Warrants, to purchase an aggregate of 7,451,564 shares of the Common Stock (the “Series Warrants”). The Pre-Funded Warrants were exercisable immediately upon issuance at an initial exercise price of $0.0001 per share and have a term of 20 years. The shares of Common Stock, or Pre-Funded Warrants, as applicable, and the accompanying Series Warrants were immediately separable and were issued separately, but they were purchased together in the offering.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Series Warrants were immediately exercisable. Each of the 3,725,782 Series 1 Warrants have an initial exercise price of $13.42 per share of Common Stock, subject to certain adjustments, and expires on June 30, 2027. Each of the 3,725,782 Series 2 Warrants have an initial exercise price of $20.13 per share of Common Stock, subject to certain adjustments, and expires on December 31, 2030. For the Series Warrants, the Investor may elect to receive, in lieu of shares of Common Stock, pre-funded warrants to purchase an equivalent number of shares of Common Stock. The offering (the “January 2026 Offering”) closed on January 13, 2026, resulting in gross proceeds of approximately $50.0 million before offering expenses, and excluding any proceeds the Company may receive upon exercise of the Pre-Funded Warrants and Series Warrants. The Company incurred offering costs of approximately $0.3 million, which were treated as a reduction to equity. No underwriter or placement agent participated in the offering.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incurred significant operating losses since our inception. For the six months ended June 30, 2026 and the year ended December 31, 2025, we reported net losses of $27.1 million and $74.3 million, respectively. As of June 30, 2026, we had an accumulated deficit of $659.5 million. We expect to continue to incur significant expenses and increasing operating losses for at least the next several years. Our ability to generate any product revenue or product revenue sufficient to achieve profitability will depend on the successful development and eventual commercialization of one or more product candidates we are developing or may develop.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expect that our expenses and capital requirements will increase substantially in connection with our ongoing activities, particularly if and as we:</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advance FHD-909 and other product candidates partnered with Lilly, and continue preclinical and clinical development of product candidates from our current portfolio;</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identify and advance additional research programs and additional product candidates;</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initiate preclinical testing for any new product candidates we identify and develop;</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obtain, maintain, expand, enforce, defend and protect our trade secrets and intellectual property portfolio and provide reimbursement of third-party expenses related to our patent portfolio;</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hire additional research and development personnel;</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add operational, legal, compliance, financial and management information systems and personnel to support our research, product development and operations;</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expand the capabilities of our platform;</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acquire or in-license product candidates, intellectual property and technologies;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experience significant operating cost increases as a result of increased inflation or increased tariffs;</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operate as a public company;</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seek marketing approvals for any product candidates that successfully complete clinical trials; and</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ultimately establish a sales, marketing and distribution infrastructure to commercialize any products for which we may obtain marketing approval.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will not generate revenue from product sales unless and until we successfully commercialize one of our product candidates, after completing clinical development and obtaining regulatory approval. If we obtain regulatory approval for any of our product candidates, we expect to incur significant expenses related to developing our commercialization capability to support product sales, marketing, manufacturing and distribution. Further, we expect to incur additional costs associated with operating as a public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and collaborations or licensing arrangements and the Lilly Collaboration Agreement. We may be unable to raise additional funds or enter into such other agreements or arrangements when needed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favorable terms, or at all. If we fail to raise capital or enter into such agreements as, and when, needed, we may have to significantly delay, scale back our development or commercialization plans for one or more of our product candidates.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pharmaceutical product development and the current geopolitical and economic and trade environment,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Collaboration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product sales and do not expect to do so in the near future. If our development efforts for our product candidates are successful and result in regulatory approval or licenses with third parties, we may generate revenue in the future from product sales, milestone payments under our existing collaboration agreement or payments from other license agreements that we may enter into with third parties.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December of 2021, we entered into a strategic collaboration with Lilly to create novel oncology medicines by applying Foghorn’s proprietary Gene Traffic Control platform. The collaboration includes a U.S. co-development and co-commercialization agreement for the aforementioned selective SMARCA2 (BRM) oncology program and an additional undisclosed oncology target. In addition, the collaboration includes three additional discovery programs using Foghorn’s proprietary Gene Traffic Control platform. Under the terms of the collaboration, Foghorn received upfront consideration of $300.0 million in cash pursuant to the Lilly Collaboration Agreement, together with an equity investment by Lilly of $80.0 million in shares of Foghorn Common Stock pursuant to the Lilly SPA.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SMARCA2 selective program and the additional undisclosed target program, Foghorn will lead discovery and early research activities, while Lilly will lead development and commercialization activities with participation from Foghorn in operational activities and cost sharing. Foghorn and Lilly will share 50/50 in the U.S. economics, and Foghorn is eligible to receive royalties on ex-U.S. sales starting in the low double-digit range and escalating into the twenties based on revenue levels.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additional discovery programs, Foghorn will lead discovery and early research activities. Foghorn may receive up to a total of $1.3 billion in potential development and commercialization milestones. Additionally, Foghorn will have an option to participate in a percentage of the U.S. economics and is eligible to receive tiered royalties from the mid-single digit to low-double digit range on sales outside the U.S. that may be exercised after the successful completion of the dose-finding toxicity studies.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cannot provide assurances as to the timing of future milestones, royalty payments and economics associated with the strategic collaboration with Lilly, if any.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third quarter of 2023, we transitioned the Selective SMARCA2 inhibitor, FHD-909, to Lilly, for which Lilly leads and the Company participates and shares in 50% of the costs until at least registrational trials. Costs incurred will continue to be included in research and development expenses on the condensed consolidated statements of operations and comprehensive loss.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recognized total deferred revenue of $337.8 million related to the Lilly Collaboration Agreement and the Lilly SPA, which included the $300.0 million upfront payment under the Lilly Collaboration Agreement as well as $37.8 million allocated to deferred revenue from the gross proceeds of the Lilly SPA to be recognized over the performance period. For the three months ended June 30, 2026 and 2025, we recognized $16.1 million and $7.6 million, respectively, of revenue under the Lilly Collaboration Agreement. For the six months ended June 30, 2026 and 2025, we recognized $19.3 million and $13.5 million, respectively, of revenue under the Lilly Collaboration Agreement. Included in the three and six months ended June 30, 2026 revenue amounts was a $14.2 million cumulative catch-up adjustment to reflect updated future costs primarily due to the scheduled expiration of the research term in December 2026. As of June 30, 2026, we had $229.8 million of deferred revenue related to the above mentioned upfront payment and revenue allocation remaining on our condensed consolidated balance sheets.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operating expenses are comprised of research and development expenses and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to progress our proprietary and partnered pipeline, including our discovery efforts, which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personnel-related costs, including salaries, benefits and stock-based compensation expense, for employees engaged in research and development functions;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expenses incurred in connection with our research programs and preclinical and clinical development of our product candidates, including under agreements with third parties, such as consultants and contractors and contract research organizations (“CROs”), and our collaboration partner;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 of manufacturing drug substance and drug product for use in our research and preclinical studies and clinical trials under agreements with third parties, such as consultants and contractors and contract development and manufacturing organizations (“CDMOs”);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laboratory supplies and research materials;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facilities, depreciation and amortization and other expenses, which include direct and allocated expenses for rent and maintenance of facilities and insurance;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payments made under third-party licensing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track our direct external research and development expenses on a program-by-program basis. These consist of costs that include fees, reimbursed materials, and other costs paid to consultants, contractors, CDMOs, and CROs in connection with our preclinical, clinical and manufacturing activities. We do not allocate employee costs, costs associated with our discovery efforts, laboratory supplies, and facilities expenses, including depreciation or other indirect costs, to specific product development programs because these costs are deployed across multiple programs and our platform and, as such, are not separately classified.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our research and development expenses may increase in the future as we advance our programs into clinical development and continue our discovery, research and preclinical activities in the near term and in the future.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In addition, given the uncertainties associated with the current geopolitical and economic and trade environment, our research and development expenses may increase in an unpredictable manner.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personnel-related costs, including salaries, benefits and stock-based compensation, for employees engaged in executive, finance and accounting, legal, and other administrative functions. General and administrative expenses also include professional fees for legal, patent, consulting, investor and public relations, human resources, and accounting and audit services as well as direct and allocated facility-related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anticipate that our general and administrative expenses may increase in the future as we continue to support our continued research activities and development of our programs and platform. We also anticipate that we will continue to incur increased accounting, audit, legal, regulatory, compliance, director and officer insurance costs and investor and public relations expenses associated with operating as a public company.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income consists of interest earned on our invested cash balances.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income, net consists of sublease income and miscellaneous expense unrelated to our core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federal net operating loss carryforwards of $198.5 million, which may be available to offset future taxable income. The federal net operating loss can be carried forward indefinitely but are limited to offset 80% of annual taxable income. As of December 31, 2025, we also had U.S. federal and state research and development tax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carryforwards of $9.4 million and $3.7 million, respectively, which may be available to reduce future tax liabilities and expire at various dates beginning in 2043 and 2037, respectively. Due to our history of cumulative net losses since inception and uncertainties surrounding our ability to generate future taxable income, we have recorded a full valuation allowance against our net deferred tax assets at each balance sheet date. We do not expect to have taxable income in the current year.</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are prepared in accordance with generally accepted accounting principles in the United States (“GAAP”). The preparation of our unaudited condensed consolidated financial statements and related disclosures requires us to make estimates and judgments that affect the reported amounts of assets, liabilities, revenue, costs and expenses and the disclosure of contingent assets and liabilities in our unaudited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lineRule="auto" w:line="288" w:before="120" w:after="283"/>
        <w:jc w:val="left"/>
        <w:rPr/>
      </w:pPr>
      <w:r>
        <w:rPr>
          <w:rFonts w:ascii="Times New Roman;serif" w:hAnsi="Times New Roman;serif"/>
          <w:b w:val="false"/>
          <w:color w:val="000000"/>
          <w:sz w:val="20"/>
        </w:rPr>
        <w:t xml:space="preserve">While our significant accounting policies are described in more detail in Note 2 to our consolidated financial statements in our Annual Report on Form 10-K for the fiscal year ended December 31, 2025 as well as elsewhere in this Quarterly Report on Form 10-Q, we </w:t>
      </w:r>
      <w:r>
        <w:rPr>
          <w:rFonts w:ascii="Times New Roman;serif" w:hAnsi="Times New Roman;serif"/>
          <w:b w:val="false"/>
          <w:color w:val="000000"/>
          <w:sz w:val="20"/>
          <w:shd w:fill="FFFFFF" w:val="clear"/>
        </w:rPr>
        <w:t>believe that revenue recognition and accrued research and development expenses are those most critical to the judgments and estimates used in the preparation of our unaudited condensed consolidated financial statements. There have been no material changes to our critical accounting policies and estimates detailed in the C</w:t>
      </w:r>
      <w:r>
        <w:rPr>
          <w:rFonts w:ascii="Times New Roman;serif" w:hAnsi="Times New Roman;serif"/>
          <w:b w:val="false"/>
          <w:i/>
          <w:color w:val="000000"/>
          <w:sz w:val="20"/>
          <w:shd w:fill="FFFFFF" w:val="clear"/>
        </w:rPr>
        <w:t>ritical Accounting Estimates</w:t>
      </w:r>
      <w:r>
        <w:rPr>
          <w:color w:val="000000"/>
          <w:shd w:fill="FFFFFF" w:val="clear"/>
        </w:rPr>
        <w:t xml:space="preserve"> </w:t>
      </w:r>
      <w:r>
        <w:rPr>
          <w:rFonts w:ascii="Times New Roman;serif" w:hAnsi="Times New Roman;serif"/>
          <w:b w:val="false"/>
          <w:color w:val="000000"/>
          <w:sz w:val="20"/>
          <w:shd w:fill="FFFFFF" w:val="clear"/>
        </w:rPr>
        <w:t xml:space="preserve">section of </w:t>
      </w:r>
      <w:r>
        <w:rPr>
          <w:rFonts w:ascii="Times New Roman;serif" w:hAnsi="Times New Roman;serif"/>
          <w:b w:val="false"/>
          <w:i/>
          <w:color w:val="000000"/>
          <w:sz w:val="20"/>
          <w:shd w:fill="FFFFFF" w:val="clear"/>
        </w:rPr>
        <w:t>Item 7. Management’s Discussion and Analysis of financial Condition and Results of Operations</w:t>
      </w:r>
      <w:r>
        <w:rPr>
          <w:color w:val="000000"/>
          <w:shd w:fill="FFFFFF" w:val="clear"/>
        </w:rPr>
        <w:t xml:space="preserve"> </w:t>
      </w:r>
      <w:r>
        <w:rPr>
          <w:rFonts w:ascii="Times New Roman;serif" w:hAnsi="Times New Roman;serif"/>
          <w:b w:val="false"/>
          <w:color w:val="000000"/>
          <w:sz w:val="20"/>
          <w:shd w:fill="FFFFFF" w:val="clear"/>
        </w:rPr>
        <w:t xml:space="preserve">in our Annual Report on Form 10-K for the fiscal year ended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2026 and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797"/>
        <w:gridCol w:w="694"/>
        <w:gridCol w:w="698"/>
        <w:gridCol w:w="211"/>
        <w:gridCol w:w="721"/>
        <w:gridCol w:w="109"/>
        <w:gridCol w:w="109"/>
        <w:gridCol w:w="109"/>
        <w:gridCol w:w="109"/>
        <w:gridCol w:w="211"/>
        <w:gridCol w:w="785"/>
        <w:gridCol w:w="109"/>
        <w:gridCol w:w="109"/>
        <w:gridCol w:w="109"/>
        <w:gridCol w:w="109"/>
        <w:gridCol w:w="211"/>
        <w:gridCol w:w="721"/>
        <w:gridCol w:w="109"/>
        <w:gridCol w:w="109"/>
        <w:gridCol w:w="109"/>
        <w:gridCol w:w="109"/>
        <w:gridCol w:w="211"/>
        <w:gridCol w:w="785"/>
        <w:gridCol w:w="109"/>
        <w:gridCol w:w="109"/>
        <w:gridCol w:w="109"/>
        <w:gridCol w:w="109"/>
        <w:gridCol w:w="211"/>
        <w:gridCol w:w="785"/>
        <w:gridCol w:w="109"/>
        <w:gridCol w:w="109"/>
        <w:gridCol w:w="109"/>
        <w:gridCol w:w="109"/>
        <w:gridCol w:w="211"/>
        <w:gridCol w:w="616"/>
        <w:gridCol w:w="157"/>
      </w:tblGrid>
      <w:tr>
        <w:trPr/>
        <w:tc>
          <w:tcPr>
            <w:tcW w:w="79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Collaboration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was $16.1 million for the three months ended June 30, 2026, compared to $7.6 million for the three months ended June 30, 2025. The increase in collaboration revenue is attributed to the $14.2 million cumulative catch-up adjustment to reflect updated future costs primarily due to the scheduled expiration of the research term in December 2026 partially offset by the timing of work performed under the Lilly Collaboration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was $19.3 million for the six months ended June 30, 2026, compared to $13.5 million for the six months ended June 30, 2025. The increase in collaboration revenue is attributed to the $14.2 million cumulative catch-up adjustment to reflect updated future costs primarily due to the scheduled expiration of the research term in December 2026 partially offset by the timing of work performed under the Lilly Collaboration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910"/>
        <w:gridCol w:w="753"/>
        <w:gridCol w:w="757"/>
        <w:gridCol w:w="211"/>
        <w:gridCol w:w="721"/>
        <w:gridCol w:w="109"/>
        <w:gridCol w:w="109"/>
        <w:gridCol w:w="109"/>
        <w:gridCol w:w="109"/>
        <w:gridCol w:w="211"/>
        <w:gridCol w:w="721"/>
        <w:gridCol w:w="109"/>
        <w:gridCol w:w="109"/>
        <w:gridCol w:w="109"/>
        <w:gridCol w:w="109"/>
        <w:gridCol w:w="211"/>
        <w:gridCol w:w="649"/>
        <w:gridCol w:w="109"/>
        <w:gridCol w:w="109"/>
        <w:gridCol w:w="109"/>
        <w:gridCol w:w="109"/>
        <w:gridCol w:w="211"/>
        <w:gridCol w:w="721"/>
        <w:gridCol w:w="109"/>
        <w:gridCol w:w="109"/>
        <w:gridCol w:w="109"/>
        <w:gridCol w:w="109"/>
        <w:gridCol w:w="211"/>
        <w:gridCol w:w="721"/>
        <w:gridCol w:w="109"/>
        <w:gridCol w:w="109"/>
        <w:gridCol w:w="109"/>
        <w:gridCol w:w="109"/>
        <w:gridCol w:w="211"/>
        <w:gridCol w:w="649"/>
        <w:gridCol w:w="157"/>
      </w:tblGrid>
      <w:tr>
        <w:trPr/>
        <w:tc>
          <w:tcPr>
            <w:tcW w:w="91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program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FHD-286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Lilly partnered programs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research and discovery, and unallocated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Early development and other research external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(including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IT related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$18.5 million for the three months ended June 30, 2026, compared to $21.8 million for the three months ended June 30, 2025. The decrease is attributed to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decrease in Lilly partnered programs of $4.4 million, primarily driven by the timing of certain costs related to the Phase 1 dose escalation study of FHD-909;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decrease in facilities and IT related expenses and other costs of $1.5 million primarily driven by a reduction in rent and building maintenance costs associated with the Company’s new office lease in Watertown, Massachusetts;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decrease in FHD-286 costs of $0.6 million due to the decision to discontinue both the independent development of FHD-286 in combination with decitabine in patients with relapsed and/or refractory AML, resulting in the shutdown of the Phase 1 clinical trial, and independent development of FHD-286 in patients with uveal melanoma;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decrease in personnel related costs of $0.3 million, including a $0.1 million decrease in stock-based compensation expense, due to decreased headcount in our research and development function compared to prior period; partially offset by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 increase in early development and other research external costs of $3.6 million, which was due to continued investment and development of our platform and early research pipeline.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$36.8 million for the six months ended June 30, 2026, compared to $43.4 million for the six months ended June 30, 2025. The decrease is attributed to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decrease in Lilly partnered programs of $6.8 million, primarily driven by the timing of certain costs related to the Phase 1 dose escalation study of FHD-909;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decrease in facilities and IT related expenses and other costs of $3.6 million primarily driven by a reduction in rent and building maintenance costs associated with the Company’s new office lease in Watertown, Massachusetts;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decrease in FHD-286 costs of $1.4 million due to the decision to discontinue both the independent development of FHD-286 in combination with decitabine in patients with relapsed and/or refractory AML, resulting in the shutdown of the Phase 1 clinical trial, and independent development of FHD-286 in patients with uveal melanoma;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decrease in personnel related costs of $1.0 million, including a $0.3 million decrease in stock-based compensation expense, due to decreased headcount in our research and development function compared to prior period; partially offset by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 increase in early development and other research external costs of $6.1 million, which was due to continued investment and development of our platform and early research pipeline.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general and administrative expenses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004"/>
        <w:gridCol w:w="865"/>
        <w:gridCol w:w="870"/>
        <w:gridCol w:w="213"/>
        <w:gridCol w:w="623"/>
        <w:gridCol w:w="110"/>
        <w:gridCol w:w="110"/>
        <w:gridCol w:w="110"/>
        <w:gridCol w:w="110"/>
        <w:gridCol w:w="213"/>
        <w:gridCol w:w="623"/>
        <w:gridCol w:w="110"/>
        <w:gridCol w:w="109"/>
        <w:gridCol w:w="109"/>
        <w:gridCol w:w="109"/>
        <w:gridCol w:w="211"/>
        <w:gridCol w:w="506"/>
        <w:gridCol w:w="109"/>
        <w:gridCol w:w="109"/>
        <w:gridCol w:w="109"/>
        <w:gridCol w:w="109"/>
        <w:gridCol w:w="211"/>
        <w:gridCol w:w="721"/>
        <w:gridCol w:w="109"/>
        <w:gridCol w:w="109"/>
        <w:gridCol w:w="109"/>
        <w:gridCol w:w="109"/>
        <w:gridCol w:w="211"/>
        <w:gridCol w:w="721"/>
        <w:gridCol w:w="109"/>
        <w:gridCol w:w="109"/>
        <w:gridCol w:w="109"/>
        <w:gridCol w:w="109"/>
        <w:gridCol w:w="211"/>
        <w:gridCol w:w="656"/>
        <w:gridCol w:w="161"/>
      </w:tblGrid>
      <w:tr>
        <w:trPr/>
        <w:tc>
          <w:tcPr>
            <w:tcW w:w="100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(including stock-based compensation)</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consulting</w:t>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IT related expenses and other</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General and administrative expenses were </w:t>
      </w:r>
      <w:r>
        <w:rPr>
          <w:rFonts w:ascii="Times New Roman;serif" w:hAnsi="Times New Roman;serif"/>
          <w:b w:val="false"/>
          <w:color w:val="000000"/>
          <w:sz w:val="20"/>
        </w:rPr>
        <w:t>$6.4 million</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June 30, 2026, compared to </w:t>
      </w:r>
      <w:r>
        <w:rPr>
          <w:rFonts w:ascii="Times New Roman;serif" w:hAnsi="Times New Roman;serif"/>
          <w:b w:val="false"/>
          <w:color w:val="000000"/>
          <w:sz w:val="20"/>
        </w:rPr>
        <w:t>$6.9 million</w:t>
      </w:r>
      <w:r>
        <w:rPr>
          <w:color w:val="000000"/>
          <w:shd w:fill="FFFFFF" w:val="clear"/>
        </w:rPr>
        <w:t xml:space="preserve"> </w:t>
      </w:r>
      <w:r>
        <w:rPr>
          <w:rFonts w:ascii="Times New Roman;serif" w:hAnsi="Times New Roman;serif"/>
          <w:b w:val="false"/>
          <w:color w:val="000000"/>
          <w:sz w:val="20"/>
          <w:shd w:fill="FFFFFF" w:val="clear"/>
        </w:rPr>
        <w:t>for the three months ended June 30, 2025.</w:t>
      </w:r>
      <w:r>
        <w:rPr>
          <w:color w:val="000000"/>
        </w:rPr>
        <w:t xml:space="preserve"> </w:t>
      </w:r>
      <w:r>
        <w:rPr>
          <w:rFonts w:ascii="Times New Roman;serif" w:hAnsi="Times New Roman;serif"/>
          <w:b w:val="false"/>
          <w:color w:val="000000"/>
          <w:sz w:val="20"/>
        </w:rPr>
        <w:t>The decrease is primarily attributed to a decrease in facilities and IT related expenses and other costs of $0.5 million primarily driven by a reduction in rent and building maintenance costs associated with the Company’s new office lease in Watertown, Massachusetts.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$12.9 million for the six months ended June 30, 2026, compared to $14.1 million for the six months ended June 30, 2025. The decrease is primarily attributed to a decrease in facilities and IT related expenses and other costs of $1.0 million primarily driven by a reduction in rent and building maintenance costs associated with the Company’s new office lease in Watertown, Massachusetts.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income, net was $1.6 million for the three months ended June 30, 2026, compared to $3.2 million for the three months ended June 30, 2025. The decrease was primarily due to decreased sublease income due to the conclusion of the Company’s subleases in 2025 and decreased interest income due to a lower average balance of marketable securities period over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income, net was $3.3 million for the six months ended June 30, 2026, compared to $7.2 million for the six months ended June 30, 2025. The decrease was primarily due to decreased sublease income due to the conclusion of the Company’s subleases in 2025 and decreased interest income due to a lower average balance of marketable securities period over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pPr>
      <w:r>
        <w:rPr>
          <w:rFonts w:ascii="Times New Roman;serif" w:hAnsi="Times New Roman;serif"/>
          <w:b w:val="false"/>
          <w:color w:val="000000"/>
          <w:sz w:val="20"/>
        </w:rPr>
        <w:t xml:space="preserve">Since our inception in October 2015, we have incurred significant operating losses. We expect to incur significant expenses and operating losses for the foreseeable future as we support our continued research activities and development of our programs and platform. Through June 30, 2026, we have funded our operations with proceeds from our initial public offering (“IPO”) in October 2020, sales of preferred stock, term loans, an upfront payment of $15.0 million we received in July 2020 under the </w:t>
      </w:r>
      <w:r>
        <w:rPr>
          <w:rFonts w:ascii="Times New Roman;serif" w:hAnsi="Times New Roman;serif"/>
          <w:b w:val="false"/>
          <w:color w:val="000000"/>
          <w:sz w:val="22"/>
        </w:rPr>
        <w:t>R</w:t>
      </w:r>
      <w:r>
        <w:rPr>
          <w:rFonts w:ascii="Times New Roman;serif" w:hAnsi="Times New Roman;serif"/>
          <w:b w:val="false"/>
          <w:color w:val="000000"/>
          <w:sz w:val="20"/>
        </w:rPr>
        <w:t xml:space="preserve">esearch Collaboration and Exclusive License Agreement (the “Merck Collaboration Agreement”) with Merck Sharp &amp; Dohme Corp. (“Merck”), proceeds we received in December 2021 under the Lilly SPA of $80.0 million; an upfront payment of $300.0 million received in January 2022 under the Lilly Collaboration Agreement; a payment of $5.0 million received from Merck under the Merck Collaboration Agreement in the third quarter of 2022 for the achievement of a research milestone; net proceeds of $102.8 million, after deducting underwriting discounts, commissions and other offering expenses, from the May 2024 Offering; net proceeds from our ATM Facility of $0.5 million; and net proceeds of $49.7 million, after deducting offering costs of $0.3 million, from the January 2026 Offering. As of June 30, 2026, we had cash, cash equivalents and marketable securities of $167.6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sources and uses of cash for each of the periods presented:</w:t>
      </w:r>
    </w:p>
    <w:tbl>
      <w:tblPr>
        <w:tblW w:w="8168" w:type="dxa"/>
        <w:jc w:val="left"/>
        <w:tblInd w:w="0" w:type="dxa"/>
        <w:tblLayout w:type="fixed"/>
        <w:tblCellMar>
          <w:top w:w="28" w:type="dxa"/>
          <w:left w:w="28" w:type="dxa"/>
          <w:bottom w:w="28" w:type="dxa"/>
          <w:right w:w="28" w:type="dxa"/>
        </w:tblCellMar>
      </w:tblPr>
      <w:tblGrid>
        <w:gridCol w:w="2013"/>
        <w:gridCol w:w="1773"/>
        <w:gridCol w:w="1778"/>
        <w:gridCol w:w="211"/>
        <w:gridCol w:w="796"/>
        <w:gridCol w:w="109"/>
        <w:gridCol w:w="109"/>
        <w:gridCol w:w="109"/>
        <w:gridCol w:w="109"/>
        <w:gridCol w:w="211"/>
        <w:gridCol w:w="79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operating activities used $43.1 million of cash, resulting from our net loss of $27.1 million to fund our operations and by changes in our operating assets and liabilities of $21.5 million partially offset by net non-cash charges of $5.5 million. Net cash used by changes in our operating assets and liabilities for the six months ended June 30, 2026 consisted primarily of a decrease of $19.3 million in deferred revenue resulting from the recognition of revenue on the upfront payments received in connection with the Lilly Collaboration Agreement and a $3.8 million net decrease in working capital partially offset by a $1.6 million increase in operating lease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operating activities used $45.0 million of cash, resulting from our net loss of $36.8 million to fund our operations and by changes in our operating assets and liabilities of $17.0 million partially offset by net non-cash charges of $8.8 million. Net cash used by changes in our operating assets and liabilities for the six months ended June 30, 2025 consisted primarily of a decrease of $13.5 million in deferred revenue resulting from the recognition of revenue on the upfront payments received in connection with the Lilly Collaboration Agreement, a $4.6 million decrease in operating lease liabilities partially offset by a $1.1 million net increase in working capital.</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investing activities was $20.7 million consisting of $104.0 million of purchases of marketable securities partially offset by $83.4 million of marketable securities maturing.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provided by investing activities was $63.2 million consisting of $156.5 million of marketable securities maturing partially offset by $93.3 million of purchases of marketable securities.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provided by financing activities was $49.8 million consisting of net proceeds from the offering of our common stock, prefunded warrants, and series warrants of $49.7 million, after deducting offering costs that had been paid during the six months ended June 30, 2026 and net proceeds of $0.1 million from the exercise of common stock options and the 2020 Employee Stock Purchase Plan (“ESPP”).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provided by financing activities was $0.4 million consisting of net proceeds from the exercise of common stock options and the ESPP.</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expect our expenses to increase substantially in connection with our ongoing activities, particularly as we continue to fund on-going and potential future clinical activities, including the Phase 1 clinical trial of FHD-909 partnered with Lilly, advance preclinical activities, and initiate clinical trials for our product candidates in development, including those partnered with Lilly. As of the issuance date of the interim unaudited condensed consolidated financial statements included in this Quarterly Report, we expect that our cash, cash equivalents and marketable securities will be sufficient to fund our operating expenses and capital expenditure requirements for at least twelve months. We have based this estimate on assumptions that may prove to be inaccurate. We could use our available capital resources sooner than we currently expect, in which case we would be required to obtain additional financing sooner than planned, which may not be available to us on acceptable terms, or at all. Our failure to raise capital as and when needed would have a negative impact on our financial condition and our ability to pursue our long-term business strategy. We will be required to obtain further funding through public or private equity offerings, debt financings, collaborations and licensing arrangements or other 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raise sufficient capital as and when needed, we may be required to significantly curtail, delay or discontinue one or more of our research or development programs or the commercialization of any product candidate we may develop,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be unable to expand our operations or otherwise capitalize on our business opportunities. If we raise additional funds through collaborations or licensing arrangements with third parties, we may have to relinquish valuable rights to future revenue streams or product candidates or grant licenses on terms that may not be favorable to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See “Risk Factors” in our Annual Report on Form 10-K for the fiscal year ended December 31, 2025 for additional risks associated with our substantial capital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off-balance sheet arrangements, as defined in the rules and regulations of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description of recently issued accounting pronouncements that may potentially impact our financial position and results of operations is disclosed in Note 2 to our unaudited condensed consolidated financial statements appearing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Rule 12b-2 under the Securities Exchange Act of 1934, as amended, for this reporting period and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management, under the supervision and with the participation of our Principal Executive Officer (our Chief Executive Officer) and Principal Accounting and Financial Officer (our Chief Financial Officer), has evaluated the effectiveness of our disclosure controls and procedures as of period end.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Principal Executive Officer and Principal Financial Officer concluded that, as of such date, our disclosure controls and procedures were effective at the reasonable assurance level.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 change in our internal control over financial reporting (as defined in Rules 13a-15(f) and 15d-15(f) under the Exchange Act) occurred during the three months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2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 discussion of potential risks or uncertainties, please see “Risk Factors” in our Annual Report on Form 10-K for the fiscal year ended December 31, 2025. There have been no material changes to the risk factors disclosed in our Annual Report on Form 10-K for the fiscal year ended December 31,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under the Securities Exchange Act of 1934, as amended) entered into, modified (as to amount, price or timing of trades) or terminated any “Rule 10b5-1 trading arrangements” or any “non-Rule 10b5-1 trading arrangements,” as such terms are defined in Item 408 of Regulation S-K.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03"/>
        <w:gridCol w:w="268"/>
        <w:gridCol w:w="269"/>
        <w:gridCol w:w="109"/>
        <w:gridCol w:w="109"/>
        <w:gridCol w:w="109"/>
        <w:gridCol w:w="2635"/>
        <w:gridCol w:w="2635"/>
        <w:gridCol w:w="3768"/>
      </w:tblGrid>
      <w:tr>
        <w:trPr/>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htx-20260630xex311.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htx-20260630x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htx-20260630xex312.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htx-20260630x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htx-20260630xex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htx-20260630x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htx-20260630xex322.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htx-20260630x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 contract or arrangement.</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0f4e56f0331468ab6634684b528cd2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02" w:type="dxa"/>
        <w:jc w:val="left"/>
        <w:tblInd w:w="0" w:type="dxa"/>
        <w:tblLayout w:type="fixed"/>
        <w:tblCellMar>
          <w:top w:w="28" w:type="dxa"/>
          <w:left w:w="28" w:type="dxa"/>
          <w:bottom w:w="28" w:type="dxa"/>
          <w:right w:w="28" w:type="dxa"/>
        </w:tblCellMar>
      </w:tblPr>
      <w:tblGrid>
        <w:gridCol w:w="667"/>
        <w:gridCol w:w="587"/>
        <w:gridCol w:w="590"/>
        <w:gridCol w:w="498"/>
        <w:gridCol w:w="498"/>
        <w:gridCol w:w="498"/>
        <w:gridCol w:w="1102"/>
        <w:gridCol w:w="1102"/>
        <w:gridCol w:w="156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FOGHORN THERAPEUTICS,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Maynard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Ryan Maynard</w:t>
              <w:br/>
              <w:t>Chief Financial Officer</w:t>
              <w:br/>
              <w:t>(Principal Accounting and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Adrian Gottschalk,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Foghorn Therapeutics Inc.;</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301" w:type="dxa"/>
        <w:jc w:val="left"/>
        <w:tblInd w:w="0" w:type="dxa"/>
        <w:tblLayout w:type="fixed"/>
        <w:tblCellMar>
          <w:top w:w="28" w:type="dxa"/>
          <w:left w:w="28" w:type="dxa"/>
          <w:bottom w:w="28" w:type="dxa"/>
          <w:right w:w="28" w:type="dxa"/>
        </w:tblCellMar>
      </w:tblPr>
      <w:tblGrid>
        <w:gridCol w:w="1421"/>
        <w:gridCol w:w="1251"/>
        <w:gridCol w:w="1257"/>
        <w:gridCol w:w="109"/>
        <w:gridCol w:w="109"/>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Adrian Gottschalk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Adrian Gottschalk</w:t>
              <w:br/>
              <w:t>President, Chief Executive Officer and Director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Ryan Maynard,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Foghorn Therapeutics Inc.;</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07" w:type="dxa"/>
        <w:jc w:val="left"/>
        <w:tblInd w:w="0" w:type="dxa"/>
        <w:tblLayout w:type="fixed"/>
        <w:tblCellMar>
          <w:top w:w="28" w:type="dxa"/>
          <w:left w:w="28" w:type="dxa"/>
          <w:bottom w:w="28" w:type="dxa"/>
          <w:right w:w="28" w:type="dxa"/>
        </w:tblCellMar>
      </w:tblPr>
      <w:tblGrid>
        <w:gridCol w:w="1351"/>
        <w:gridCol w:w="1189"/>
        <w:gridCol w:w="1195"/>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Maynard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Ryan Maynard</w:t>
              <w:br/>
              <w:t>Chief Financial Officer</w:t>
              <w:br/>
              <w:t>(Principal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Foghorn Therapeutics Inc. (the “Company”) on Form 10-Q for the quarter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4301" w:type="dxa"/>
        <w:jc w:val="left"/>
        <w:tblInd w:w="0" w:type="dxa"/>
        <w:tblLayout w:type="fixed"/>
        <w:tblCellMar>
          <w:top w:w="28" w:type="dxa"/>
          <w:left w:w="28" w:type="dxa"/>
          <w:bottom w:w="28" w:type="dxa"/>
          <w:right w:w="28" w:type="dxa"/>
        </w:tblCellMar>
      </w:tblPr>
      <w:tblGrid>
        <w:gridCol w:w="1421"/>
        <w:gridCol w:w="1251"/>
        <w:gridCol w:w="1257"/>
        <w:gridCol w:w="109"/>
        <w:gridCol w:w="109"/>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Adrian Gottschalk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Adrian Gottschalk</w:t>
              <w:br/>
              <w:t>President, Chief Executive Officer and Director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Foghorn Therapeutics Inc. (the “Company”) on Form 10-Q for the quarter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4107" w:type="dxa"/>
        <w:jc w:val="left"/>
        <w:tblInd w:w="0" w:type="dxa"/>
        <w:tblLayout w:type="fixed"/>
        <w:tblCellMar>
          <w:top w:w="28" w:type="dxa"/>
          <w:left w:w="28" w:type="dxa"/>
          <w:bottom w:w="28" w:type="dxa"/>
          <w:right w:w="28" w:type="dxa"/>
        </w:tblCellMar>
      </w:tblPr>
      <w:tblGrid>
        <w:gridCol w:w="1351"/>
        <w:gridCol w:w="1189"/>
        <w:gridCol w:w="1195"/>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Maynard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Ryan Maynard</w:t>
              <w:br/>
              <w:t>Chief Financial Officer</w:t>
              <w:br/>
              <w:t>(Principal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16630</Words>
  <Characters>93606</Characters>
  <CharactersWithSpaces>109312</CharactersWithSpaces>
  <Paragraphs>1653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